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3269" w14:textId="77777777" w:rsidR="00781732" w:rsidRDefault="00504BAB">
      <w:pPr>
        <w:spacing w:after="0" w:line="265" w:lineRule="auto"/>
        <w:ind w:left="43" w:right="-33" w:hanging="10"/>
        <w:jc w:val="center"/>
      </w:pPr>
      <w:r>
        <w:rPr>
          <w:b/>
        </w:rPr>
        <w:t xml:space="preserve">PROCEDURES FOR ELECTION OF </w:t>
      </w:r>
    </w:p>
    <w:p w14:paraId="327FC6F4" w14:textId="77777777" w:rsidR="00781732" w:rsidRDefault="00504BAB">
      <w:pPr>
        <w:spacing w:after="557" w:line="265" w:lineRule="auto"/>
        <w:ind w:left="43" w:right="-33" w:hanging="10"/>
        <w:jc w:val="center"/>
      </w:pPr>
      <w:r>
        <w:rPr>
          <w:b/>
        </w:rPr>
        <w:t xml:space="preserve">TENURE TRACK PEER REVIEW COMMITTEES </w:t>
      </w:r>
    </w:p>
    <w:p w14:paraId="6B004C30" w14:textId="77777777" w:rsidR="00781732" w:rsidRDefault="00504BAB">
      <w:pPr>
        <w:pStyle w:val="Heading1"/>
        <w:ind w:left="-5"/>
      </w:pPr>
      <w:r>
        <w:t>Membership</w:t>
      </w:r>
      <w:r>
        <w:rPr>
          <w:u w:val="none"/>
        </w:rPr>
        <w:t xml:space="preserve"> </w:t>
      </w:r>
    </w:p>
    <w:p w14:paraId="0577CD92" w14:textId="77777777" w:rsidR="00781732" w:rsidRDefault="00504BAB">
      <w:pPr>
        <w:spacing w:after="284"/>
        <w:ind w:left="-15" w:firstLine="0"/>
      </w:pPr>
      <w:r>
        <w:t>The</w:t>
      </w:r>
      <w:r>
        <w:t xml:space="preserve"> </w:t>
      </w:r>
      <w:r>
        <w:t>College</w:t>
      </w:r>
      <w:r>
        <w:t xml:space="preserve"> </w:t>
      </w:r>
      <w:r>
        <w:t>of</w:t>
      </w:r>
      <w:r>
        <w:t xml:space="preserve"> </w:t>
      </w:r>
      <w:r>
        <w:t>Education,</w:t>
      </w:r>
      <w:r>
        <w:t xml:space="preserve"> </w:t>
      </w:r>
      <w:r>
        <w:t>Health</w:t>
      </w:r>
      <w:r>
        <w:t xml:space="preserve"> </w:t>
      </w:r>
      <w:r>
        <w:t>and</w:t>
      </w:r>
      <w:r>
        <w:t xml:space="preserve"> </w:t>
      </w:r>
      <w:r>
        <w:t>Human</w:t>
      </w:r>
      <w:r>
        <w:t xml:space="preserve"> </w:t>
      </w:r>
      <w:r>
        <w:t>Services</w:t>
      </w:r>
      <w:r>
        <w:t xml:space="preserve"> </w:t>
      </w:r>
      <w:r>
        <w:t>Peer</w:t>
      </w:r>
      <w:r>
        <w:t xml:space="preserve"> </w:t>
      </w:r>
      <w:r>
        <w:t>Review</w:t>
      </w:r>
      <w:r>
        <w:t xml:space="preserve"> </w:t>
      </w:r>
      <w:r>
        <w:t>Committees</w:t>
      </w:r>
      <w:r>
        <w:t xml:space="preserve"> </w:t>
      </w:r>
      <w:r>
        <w:t>(PRCs)</w:t>
      </w:r>
      <w:r>
        <w:t xml:space="preserve"> </w:t>
      </w:r>
      <w:r>
        <w:t>must</w:t>
      </w:r>
      <w:r>
        <w:t xml:space="preserve"> </w:t>
      </w:r>
      <w:r>
        <w:t>consist</w:t>
      </w:r>
      <w:r>
        <w:t xml:space="preserve"> </w:t>
      </w:r>
      <w:r>
        <w:t>of</w:t>
      </w:r>
      <w:r>
        <w:t xml:space="preserve"> </w:t>
      </w:r>
      <w:r>
        <w:t>three</w:t>
      </w:r>
      <w:r>
        <w:t xml:space="preserve"> </w:t>
      </w:r>
      <w:r>
        <w:t>eligible</w:t>
      </w:r>
      <w:r>
        <w:t xml:space="preserve"> </w:t>
      </w:r>
      <w:r>
        <w:t>tenured</w:t>
      </w:r>
      <w:r>
        <w:t xml:space="preserve"> </w:t>
      </w:r>
      <w:r>
        <w:t>faculty</w:t>
      </w:r>
      <w:r>
        <w:t xml:space="preserve"> </w:t>
      </w:r>
      <w:r>
        <w:t>members.</w:t>
      </w:r>
      <w:r>
        <w:t xml:space="preserve">  </w:t>
      </w:r>
      <w:r>
        <w:t>Academic</w:t>
      </w:r>
      <w:r>
        <w:t xml:space="preserve"> </w:t>
      </w:r>
      <w:r>
        <w:t>units,</w:t>
      </w:r>
      <w:r>
        <w:t xml:space="preserve"> </w:t>
      </w:r>
      <w:r>
        <w:t>defined</w:t>
      </w:r>
      <w:r>
        <w:t xml:space="preserve"> </w:t>
      </w:r>
      <w:r>
        <w:t>as</w:t>
      </w:r>
      <w:r>
        <w:t xml:space="preserve"> </w:t>
      </w:r>
      <w:r>
        <w:t>departments</w:t>
      </w:r>
      <w:r>
        <w:t xml:space="preserve"> </w:t>
      </w:r>
      <w:r>
        <w:t>(in</w:t>
      </w:r>
      <w:r>
        <w:t xml:space="preserve"> </w:t>
      </w:r>
      <w:r>
        <w:t>schools</w:t>
      </w:r>
      <w:r>
        <w:t xml:space="preserve"> </w:t>
      </w:r>
      <w:r>
        <w:t>where</w:t>
      </w:r>
      <w:r>
        <w:t xml:space="preserve"> </w:t>
      </w:r>
      <w:r>
        <w:t>they</w:t>
      </w:r>
      <w:r>
        <w:t xml:space="preserve"> </w:t>
      </w:r>
      <w:r>
        <w:t>exist)</w:t>
      </w:r>
      <w:r>
        <w:t xml:space="preserve"> </w:t>
      </w:r>
      <w:r>
        <w:t>and</w:t>
      </w:r>
      <w:r>
        <w:t xml:space="preserve"> </w:t>
      </w:r>
      <w:r>
        <w:t>schools</w:t>
      </w:r>
      <w:r>
        <w:t xml:space="preserve"> </w:t>
      </w:r>
      <w:r>
        <w:t>(where</w:t>
      </w:r>
      <w:r>
        <w:t xml:space="preserve"> </w:t>
      </w:r>
      <w:r>
        <w:t>no</w:t>
      </w:r>
      <w:r>
        <w:t xml:space="preserve"> </w:t>
      </w:r>
      <w:r>
        <w:t>departments</w:t>
      </w:r>
      <w:r>
        <w:t xml:space="preserve"> </w:t>
      </w:r>
      <w:r>
        <w:t>exist)</w:t>
      </w:r>
      <w:r>
        <w:t xml:space="preserve"> </w:t>
      </w:r>
      <w:r>
        <w:t>must</w:t>
      </w:r>
      <w:r>
        <w:t xml:space="preserve"> </w:t>
      </w:r>
      <w:r>
        <w:t>elect</w:t>
      </w:r>
      <w:r>
        <w:t xml:space="preserve"> </w:t>
      </w:r>
      <w:r>
        <w:t>a</w:t>
      </w:r>
      <w:r>
        <w:t xml:space="preserve"> </w:t>
      </w:r>
      <w:r>
        <w:t>PRC</w:t>
      </w:r>
      <w:r>
        <w:t xml:space="preserve"> </w:t>
      </w:r>
      <w:r>
        <w:t>comprised</w:t>
      </w:r>
      <w:r>
        <w:t xml:space="preserve"> </w:t>
      </w:r>
      <w:r>
        <w:t>of</w:t>
      </w:r>
      <w:r>
        <w:t xml:space="preserve"> </w:t>
      </w:r>
      <w:r>
        <w:t>three</w:t>
      </w:r>
      <w:r>
        <w:t xml:space="preserve"> </w:t>
      </w:r>
      <w:r>
        <w:t>tenured</w:t>
      </w:r>
      <w:r>
        <w:t xml:space="preserve"> </w:t>
      </w:r>
      <w:r>
        <w:t>professors</w:t>
      </w:r>
      <w:r>
        <w:t xml:space="preserve"> </w:t>
      </w:r>
      <w:r>
        <w:t>as</w:t>
      </w:r>
      <w:r>
        <w:t xml:space="preserve"> </w:t>
      </w:r>
      <w:r>
        <w:t>needed.</w:t>
      </w:r>
      <w:r>
        <w:t xml:space="preserve"> </w:t>
      </w:r>
      <w:r>
        <w:t>Academic</w:t>
      </w:r>
      <w:r>
        <w:t xml:space="preserve"> </w:t>
      </w:r>
      <w:r>
        <w:t>units</w:t>
      </w:r>
      <w:r>
        <w:t xml:space="preserve"> </w:t>
      </w:r>
      <w:r>
        <w:t>may</w:t>
      </w:r>
      <w:r>
        <w:t xml:space="preserve"> </w:t>
      </w:r>
      <w:r>
        <w:t>adopt</w:t>
      </w:r>
      <w:r>
        <w:t xml:space="preserve"> </w:t>
      </w:r>
      <w:r>
        <w:t>separate</w:t>
      </w:r>
      <w:r>
        <w:t xml:space="preserve"> </w:t>
      </w:r>
      <w:r>
        <w:t>voting</w:t>
      </w:r>
      <w:r>
        <w:t xml:space="preserve"> </w:t>
      </w:r>
      <w:r>
        <w:t>procedures</w:t>
      </w:r>
      <w:r>
        <w:t xml:space="preserve"> </w:t>
      </w:r>
      <w:r>
        <w:t>if</w:t>
      </w:r>
      <w:r>
        <w:t xml:space="preserve"> </w:t>
      </w:r>
      <w:r>
        <w:t>approved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Dean’s</w:t>
      </w:r>
      <w:r>
        <w:t xml:space="preserve"> </w:t>
      </w:r>
      <w:r>
        <w:t>Office</w:t>
      </w:r>
      <w:r>
        <w:t xml:space="preserve"> </w:t>
      </w:r>
      <w:r>
        <w:t>and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procedures</w:t>
      </w:r>
      <w:r>
        <w:t xml:space="preserve"> </w:t>
      </w:r>
      <w:proofErr w:type="gramStart"/>
      <w:r>
        <w:t>are</w:t>
      </w:r>
      <w:r>
        <w:t xml:space="preserve"> </w:t>
      </w:r>
      <w:r>
        <w:t>in</w:t>
      </w:r>
      <w:r>
        <w:t xml:space="preserve"> </w:t>
      </w:r>
      <w:r>
        <w:t>compliance</w:t>
      </w:r>
      <w:r>
        <w:t xml:space="preserve"> </w:t>
      </w:r>
      <w:r>
        <w:t>with</w:t>
      </w:r>
      <w:proofErr w:type="gramEnd"/>
      <w:r>
        <w:t xml:space="preserve"> </w:t>
      </w:r>
      <w:r>
        <w:t>the</w:t>
      </w:r>
      <w:r>
        <w:t xml:space="preserve"> </w:t>
      </w:r>
      <w:r>
        <w:t>Collective</w:t>
      </w:r>
      <w:r>
        <w:t xml:space="preserve"> </w:t>
      </w:r>
      <w:r>
        <w:t>Bargaining</w:t>
      </w:r>
      <w:r>
        <w:t xml:space="preserve"> </w:t>
      </w:r>
      <w:r>
        <w:t>Agreement</w:t>
      </w:r>
      <w:r>
        <w:t xml:space="preserve"> </w:t>
      </w:r>
      <w:r>
        <w:t>(CBA).</w:t>
      </w:r>
      <w:r>
        <w:t xml:space="preserve">  </w:t>
      </w:r>
      <w:r>
        <w:t>In</w:t>
      </w:r>
      <w:r>
        <w:t xml:space="preserve"> </w:t>
      </w:r>
      <w:r>
        <w:t>the</w:t>
      </w:r>
      <w:r>
        <w:t xml:space="preserve"> </w:t>
      </w:r>
      <w:r>
        <w:t>absence</w:t>
      </w:r>
      <w:r>
        <w:t xml:space="preserve"> </w:t>
      </w:r>
      <w:r>
        <w:t>of</w:t>
      </w:r>
      <w:r>
        <w:t xml:space="preserve"> </w:t>
      </w:r>
      <w:r>
        <w:t>an</w:t>
      </w:r>
      <w:r>
        <w:t xml:space="preserve"> </w:t>
      </w:r>
      <w:r>
        <w:t>academic</w:t>
      </w:r>
      <w:r>
        <w:t xml:space="preserve"> </w:t>
      </w:r>
      <w:r>
        <w:t>unit</w:t>
      </w:r>
      <w:r>
        <w:t xml:space="preserve"> </w:t>
      </w:r>
      <w:r>
        <w:t>approved</w:t>
      </w:r>
      <w:r>
        <w:t xml:space="preserve"> </w:t>
      </w:r>
      <w:r>
        <w:t>procedure,</w:t>
      </w:r>
      <w:r>
        <w:t xml:space="preserve"> </w:t>
      </w:r>
      <w:r>
        <w:t>the</w:t>
      </w:r>
      <w:r>
        <w:t xml:space="preserve"> </w:t>
      </w:r>
      <w:r>
        <w:t>process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document</w:t>
      </w:r>
      <w:r>
        <w:t xml:space="preserve"> </w:t>
      </w:r>
      <w:r>
        <w:t>shall</w:t>
      </w:r>
      <w:r>
        <w:t xml:space="preserve"> </w:t>
      </w:r>
      <w:r>
        <w:t>be</w:t>
      </w:r>
      <w:r>
        <w:t xml:space="preserve"> </w:t>
      </w:r>
      <w:r>
        <w:t>followed.</w:t>
      </w:r>
      <w:r>
        <w:t xml:space="preserve"> </w:t>
      </w:r>
    </w:p>
    <w:p w14:paraId="6015FE87" w14:textId="77777777" w:rsidR="00781732" w:rsidRDefault="00504BAB">
      <w:pPr>
        <w:spacing w:after="0" w:line="259" w:lineRule="auto"/>
        <w:ind w:left="-5" w:hanging="10"/>
      </w:pPr>
      <w:r>
        <w:rPr>
          <w:b/>
          <w:u w:val="single" w:color="000000"/>
        </w:rPr>
        <w:t>Membership Eligibility</w:t>
      </w:r>
      <w:r>
        <w:rPr>
          <w:b/>
        </w:rPr>
        <w:t xml:space="preserve"> </w:t>
      </w:r>
    </w:p>
    <w:p w14:paraId="46D26C7D" w14:textId="77777777" w:rsidR="00781732" w:rsidRDefault="00504BAB">
      <w:pPr>
        <w:spacing w:after="279"/>
        <w:ind w:left="-15" w:firstLine="0"/>
      </w:pPr>
      <w:r>
        <w:t>Eligibility</w:t>
      </w:r>
      <w:r>
        <w:t xml:space="preserve"> </w:t>
      </w:r>
      <w:r>
        <w:t>for</w:t>
      </w:r>
      <w:r>
        <w:t xml:space="preserve"> </w:t>
      </w:r>
      <w:r>
        <w:t>membership</w:t>
      </w:r>
      <w:r>
        <w:t xml:space="preserve"> </w:t>
      </w:r>
      <w:r>
        <w:t>is</w:t>
      </w:r>
      <w:r>
        <w:t xml:space="preserve"> </w:t>
      </w:r>
      <w:r>
        <w:t>specifically</w:t>
      </w:r>
      <w:r>
        <w:t xml:space="preserve"> </w:t>
      </w:r>
      <w:r>
        <w:t>defined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CBA.</w:t>
      </w:r>
      <w:r>
        <w:t xml:space="preserve"> </w:t>
      </w:r>
    </w:p>
    <w:p w14:paraId="1198E363" w14:textId="77777777" w:rsidR="00781732" w:rsidRDefault="00504BAB">
      <w:pPr>
        <w:spacing w:after="0" w:line="259" w:lineRule="auto"/>
        <w:ind w:left="-5" w:hanging="10"/>
      </w:pPr>
      <w:r>
        <w:rPr>
          <w:b/>
          <w:u w:val="single" w:color="000000"/>
        </w:rPr>
        <w:t>Voter Eligibility</w:t>
      </w:r>
      <w:r>
        <w:rPr>
          <w:b/>
        </w:rPr>
        <w:t xml:space="preserve"> </w:t>
      </w:r>
    </w:p>
    <w:p w14:paraId="3157F6A0" w14:textId="77777777" w:rsidR="00781732" w:rsidRDefault="00504BAB">
      <w:pPr>
        <w:spacing w:after="280"/>
        <w:ind w:left="-15" w:firstLine="0"/>
      </w:pPr>
      <w:r>
        <w:t>Eligibility</w:t>
      </w:r>
      <w:r>
        <w:t xml:space="preserve"> </w:t>
      </w:r>
      <w:r>
        <w:t>to</w:t>
      </w:r>
      <w:r>
        <w:t xml:space="preserve"> </w:t>
      </w:r>
      <w:r>
        <w:t>vote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PRC</w:t>
      </w:r>
      <w:r>
        <w:t xml:space="preserve"> </w:t>
      </w:r>
      <w:r>
        <w:t>election</w:t>
      </w:r>
      <w:r>
        <w:t xml:space="preserve"> </w:t>
      </w:r>
      <w:r>
        <w:t>is</w:t>
      </w:r>
      <w:r>
        <w:t xml:space="preserve"> </w:t>
      </w:r>
      <w:r>
        <w:t>defined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CBA.</w:t>
      </w:r>
      <w:r>
        <w:t xml:space="preserve"> </w:t>
      </w:r>
    </w:p>
    <w:p w14:paraId="169D31AB" w14:textId="77777777" w:rsidR="00781732" w:rsidRDefault="00504BAB">
      <w:pPr>
        <w:pStyle w:val="Heading1"/>
        <w:spacing w:after="299"/>
        <w:ind w:left="-5"/>
      </w:pPr>
      <w:r>
        <w:t>Election</w:t>
      </w:r>
      <w:r>
        <w:t xml:space="preserve"> </w:t>
      </w:r>
      <w:r>
        <w:t>Procedures</w:t>
      </w:r>
      <w:r>
        <w:rPr>
          <w:u w:val="none"/>
        </w:rPr>
        <w:t xml:space="preserve"> </w:t>
      </w:r>
    </w:p>
    <w:p w14:paraId="278722EC" w14:textId="77777777" w:rsidR="00781732" w:rsidRDefault="00504BAB">
      <w:pPr>
        <w:numPr>
          <w:ilvl w:val="0"/>
          <w:numId w:val="1"/>
        </w:numPr>
        <w:ind w:hanging="360"/>
      </w:pPr>
      <w:r>
        <w:t>Without</w:t>
      </w:r>
      <w:r>
        <w:t xml:space="preserve"> </w:t>
      </w:r>
      <w:r>
        <w:t>exception,</w:t>
      </w:r>
      <w:r>
        <w:t xml:space="preserve"> </w:t>
      </w:r>
      <w:r>
        <w:t>elections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held</w:t>
      </w:r>
      <w:r>
        <w:t xml:space="preserve"> </w:t>
      </w:r>
      <w:r>
        <w:t>for</w:t>
      </w:r>
      <w:r>
        <w:t xml:space="preserve"> </w:t>
      </w:r>
      <w:r>
        <w:t>PRC</w:t>
      </w:r>
      <w:r>
        <w:t xml:space="preserve"> </w:t>
      </w:r>
      <w:r>
        <w:t>members.</w:t>
      </w:r>
    </w:p>
    <w:p w14:paraId="06537B40" w14:textId="77777777" w:rsidR="00781732" w:rsidRDefault="00504BAB">
      <w:pPr>
        <w:numPr>
          <w:ilvl w:val="0"/>
          <w:numId w:val="1"/>
        </w:numPr>
        <w:ind w:hanging="360"/>
      </w:pPr>
      <w:r>
        <w:t>A</w:t>
      </w:r>
      <w:r>
        <w:t xml:space="preserve"> </w:t>
      </w:r>
      <w:r>
        <w:t>ballot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valid</w:t>
      </w:r>
      <w:r>
        <w:t xml:space="preserve"> </w:t>
      </w:r>
      <w:r>
        <w:t>if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at</w:t>
      </w:r>
      <w:r>
        <w:t xml:space="preserve"> </w:t>
      </w:r>
      <w:r>
        <w:t>least</w:t>
      </w:r>
      <w:r>
        <w:t xml:space="preserve"> </w:t>
      </w:r>
      <w:r>
        <w:t>one</w:t>
      </w:r>
      <w:r>
        <w:t xml:space="preserve"> </w:t>
      </w:r>
      <w:r>
        <w:t>candidate</w:t>
      </w:r>
      <w:r>
        <w:t xml:space="preserve"> </w:t>
      </w:r>
      <w:r>
        <w:t>per</w:t>
      </w:r>
      <w:r>
        <w:t xml:space="preserve"> </w:t>
      </w:r>
      <w:r>
        <w:t>position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filled.</w:t>
      </w:r>
    </w:p>
    <w:p w14:paraId="4BABEC9D" w14:textId="77777777" w:rsidR="00781732" w:rsidRDefault="00504BAB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64DA1E" wp14:editId="5010ABC8">
            <wp:simplePos x="0" y="0"/>
            <wp:positionH relativeFrom="page">
              <wp:posOffset>267462</wp:posOffset>
            </wp:positionH>
            <wp:positionV relativeFrom="page">
              <wp:posOffset>0</wp:posOffset>
            </wp:positionV>
            <wp:extent cx="1819656" cy="1298448"/>
            <wp:effectExtent l="0" t="0" r="0" b="0"/>
            <wp:wrapSquare wrapText="bothSides"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t xml:space="preserve"> </w:t>
      </w:r>
      <w:r>
        <w:t>a</w:t>
      </w:r>
      <w:r>
        <w:t xml:space="preserve"> </w:t>
      </w:r>
      <w:r>
        <w:t>contested</w:t>
      </w:r>
      <w:r>
        <w:t xml:space="preserve"> </w:t>
      </w:r>
      <w:r>
        <w:t>election,</w:t>
      </w:r>
      <w:r>
        <w:t xml:space="preserve"> </w:t>
      </w:r>
      <w:r>
        <w:t>the</w:t>
      </w:r>
      <w:r>
        <w:t xml:space="preserve"> </w:t>
      </w:r>
      <w:r>
        <w:t>three</w:t>
      </w:r>
      <w:r>
        <w:t xml:space="preserve"> </w:t>
      </w:r>
      <w:r>
        <w:t>candidates</w:t>
      </w:r>
      <w:r>
        <w:t xml:space="preserve"> </w:t>
      </w:r>
      <w:r>
        <w:t>receiving</w:t>
      </w:r>
      <w:r>
        <w:t xml:space="preserve"> </w:t>
      </w:r>
      <w:r>
        <w:t>the</w:t>
      </w:r>
      <w:r>
        <w:t xml:space="preserve"> </w:t>
      </w:r>
      <w:r>
        <w:t>most</w:t>
      </w:r>
      <w:r>
        <w:t xml:space="preserve"> </w:t>
      </w:r>
      <w:r>
        <w:t>“yes”</w:t>
      </w:r>
      <w:r>
        <w:t xml:space="preserve"> </w:t>
      </w:r>
      <w:r>
        <w:t>votes</w:t>
      </w:r>
      <w:r>
        <w:t xml:space="preserve"> </w:t>
      </w:r>
      <w:r>
        <w:t>cast</w:t>
      </w:r>
      <w:r>
        <w:t xml:space="preserve"> </w:t>
      </w:r>
      <w:r>
        <w:t>are</w:t>
      </w:r>
      <w:r>
        <w:t xml:space="preserve"> </w:t>
      </w:r>
      <w:r>
        <w:t>seated.</w:t>
      </w:r>
    </w:p>
    <w:p w14:paraId="1DA11CE0" w14:textId="77777777" w:rsidR="00781732" w:rsidRDefault="00504BAB">
      <w:pPr>
        <w:numPr>
          <w:ilvl w:val="0"/>
          <w:numId w:val="1"/>
        </w:numPr>
        <w:ind w:hanging="360"/>
      </w:pPr>
      <w:r>
        <w:t>In</w:t>
      </w:r>
      <w:r>
        <w:t xml:space="preserve"> </w:t>
      </w:r>
      <w:r>
        <w:t>a</w:t>
      </w:r>
      <w:r>
        <w:t xml:space="preserve"> </w:t>
      </w:r>
      <w:r>
        <w:t>non</w:t>
      </w:r>
      <w:r>
        <w:t>‐</w:t>
      </w:r>
      <w:r>
        <w:t>contested</w:t>
      </w:r>
      <w:r>
        <w:t xml:space="preserve"> </w:t>
      </w:r>
      <w:r>
        <w:t>election,</w:t>
      </w:r>
      <w:r>
        <w:t xml:space="preserve"> </w:t>
      </w:r>
      <w:r>
        <w:t>a</w:t>
      </w:r>
      <w:r>
        <w:t xml:space="preserve"> </w:t>
      </w:r>
      <w:r>
        <w:t>candidate</w:t>
      </w:r>
      <w:r>
        <w:t xml:space="preserve"> </w:t>
      </w:r>
      <w:r>
        <w:t>must</w:t>
      </w:r>
      <w:r>
        <w:t xml:space="preserve"> </w:t>
      </w:r>
      <w:r>
        <w:t>receive</w:t>
      </w:r>
      <w:r>
        <w:t xml:space="preserve"> </w:t>
      </w:r>
      <w:r>
        <w:t>“yes”</w:t>
      </w:r>
      <w:r>
        <w:t xml:space="preserve"> </w:t>
      </w:r>
      <w:r>
        <w:t>votes</w:t>
      </w:r>
      <w:r>
        <w:t xml:space="preserve"> </w:t>
      </w:r>
      <w:r>
        <w:t>from</w:t>
      </w:r>
      <w:r>
        <w:t xml:space="preserve"> </w:t>
      </w:r>
      <w:proofErr w:type="gramStart"/>
      <w:r>
        <w:t>a</w:t>
      </w:r>
      <w:r>
        <w:t xml:space="preserve"> </w:t>
      </w:r>
      <w:r>
        <w:t>majority</w:t>
      </w:r>
      <w:r>
        <w:t xml:space="preserve"> </w:t>
      </w:r>
      <w:r>
        <w:t>of</w:t>
      </w:r>
      <w:proofErr w:type="gramEnd"/>
      <w:r>
        <w:t xml:space="preserve"> </w:t>
      </w:r>
      <w:r>
        <w:t>the</w:t>
      </w:r>
      <w:r>
        <w:t xml:space="preserve"> </w:t>
      </w:r>
      <w:r>
        <w:t>votes</w:t>
      </w:r>
      <w:r>
        <w:t xml:space="preserve"> </w:t>
      </w:r>
      <w:r>
        <w:t>cast.</w:t>
      </w:r>
    </w:p>
    <w:p w14:paraId="48DD8F0C" w14:textId="77777777" w:rsidR="00781732" w:rsidRDefault="00504BAB">
      <w:pPr>
        <w:numPr>
          <w:ilvl w:val="0"/>
          <w:numId w:val="1"/>
        </w:numPr>
        <w:spacing w:after="312"/>
        <w:ind w:hanging="360"/>
      </w:pPr>
      <w:r>
        <w:t>If</w:t>
      </w:r>
      <w:r>
        <w:t xml:space="preserve"> </w:t>
      </w:r>
      <w:r>
        <w:t>a</w:t>
      </w:r>
      <w:r>
        <w:t xml:space="preserve"> </w:t>
      </w:r>
      <w:r>
        <w:t>vacancy</w:t>
      </w:r>
      <w:r>
        <w:t xml:space="preserve"> </w:t>
      </w:r>
      <w:r>
        <w:t>needs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filled,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election</w:t>
      </w:r>
      <w:r>
        <w:t xml:space="preserve"> </w:t>
      </w:r>
      <w:r>
        <w:t>procedure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followed</w:t>
      </w:r>
      <w:r>
        <w:t xml:space="preserve"> </w:t>
      </w:r>
      <w:r>
        <w:t>to</w:t>
      </w:r>
      <w:r>
        <w:t xml:space="preserve"> </w:t>
      </w:r>
      <w:r>
        <w:t>elect</w:t>
      </w:r>
      <w:r>
        <w:t xml:space="preserve"> </w:t>
      </w:r>
      <w:r>
        <w:t>a</w:t>
      </w:r>
      <w:r>
        <w:t xml:space="preserve"> </w:t>
      </w:r>
      <w:r>
        <w:t>replacement.</w:t>
      </w:r>
    </w:p>
    <w:p w14:paraId="76C598BF" w14:textId="77777777" w:rsidR="00781732" w:rsidRDefault="00504BAB">
      <w:pPr>
        <w:numPr>
          <w:ilvl w:val="0"/>
          <w:numId w:val="1"/>
        </w:numPr>
        <w:spacing w:after="300"/>
        <w:ind w:hanging="360"/>
      </w:pPr>
      <w:r>
        <w:t>Elections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administered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Dean’s</w:t>
      </w:r>
      <w:r>
        <w:t xml:space="preserve"> </w:t>
      </w:r>
      <w:r>
        <w:t>Office</w:t>
      </w:r>
      <w:r>
        <w:t xml:space="preserve"> early to </w:t>
      </w:r>
      <w:r>
        <w:t>mid</w:t>
      </w:r>
      <w:r>
        <w:t xml:space="preserve">‐spring </w:t>
      </w:r>
      <w:r>
        <w:t>using</w:t>
      </w:r>
      <w:r>
        <w:t xml:space="preserve"> </w:t>
      </w:r>
      <w:r>
        <w:t>the</w:t>
      </w:r>
      <w:r>
        <w:t xml:space="preserve"> </w:t>
      </w:r>
      <w:r>
        <w:t>following</w:t>
      </w:r>
      <w:r>
        <w:t xml:space="preserve"> </w:t>
      </w:r>
      <w:r>
        <w:t>process:</w:t>
      </w:r>
      <w:bookmarkStart w:id="0" w:name="_GoBack"/>
      <w:bookmarkEnd w:id="0"/>
    </w:p>
    <w:p w14:paraId="1581CBFA" w14:textId="77777777" w:rsidR="00781732" w:rsidRDefault="00504BAB">
      <w:pPr>
        <w:numPr>
          <w:ilvl w:val="1"/>
          <w:numId w:val="1"/>
        </w:numPr>
        <w:ind w:hanging="360"/>
      </w:pPr>
      <w:r>
        <w:t>Dean’s</w:t>
      </w:r>
      <w:r>
        <w:t xml:space="preserve"> </w:t>
      </w:r>
      <w:r>
        <w:t>Office</w:t>
      </w:r>
      <w:r>
        <w:t xml:space="preserve"> </w:t>
      </w:r>
      <w:r>
        <w:t>calls</w:t>
      </w:r>
      <w:r>
        <w:t xml:space="preserve"> </w:t>
      </w:r>
      <w:r>
        <w:t>for</w:t>
      </w:r>
      <w:r>
        <w:t xml:space="preserve"> </w:t>
      </w:r>
      <w:r>
        <w:t>nominations</w:t>
      </w:r>
      <w:r>
        <w:t xml:space="preserve"> </w:t>
      </w:r>
      <w:r>
        <w:t>for</w:t>
      </w:r>
      <w:r>
        <w:t xml:space="preserve"> </w:t>
      </w:r>
      <w:r>
        <w:t>each</w:t>
      </w:r>
      <w:r>
        <w:t xml:space="preserve"> </w:t>
      </w:r>
      <w:r>
        <w:t>PRC</w:t>
      </w:r>
      <w:r>
        <w:t xml:space="preserve"> </w:t>
      </w:r>
      <w:r>
        <w:t>needed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window</w:t>
      </w:r>
      <w:r>
        <w:t xml:space="preserve"> </w:t>
      </w:r>
      <w:r>
        <w:t>of</w:t>
      </w:r>
      <w:r>
        <w:t xml:space="preserve"> </w:t>
      </w:r>
      <w:r>
        <w:t>at</w:t>
      </w:r>
      <w:r>
        <w:t xml:space="preserve"> </w:t>
      </w:r>
      <w:r>
        <w:t>least</w:t>
      </w:r>
      <w:r>
        <w:t xml:space="preserve"> </w:t>
      </w:r>
      <w:r>
        <w:t>five</w:t>
      </w:r>
      <w:r>
        <w:t xml:space="preserve"> </w:t>
      </w:r>
      <w:r>
        <w:t>(5)</w:t>
      </w:r>
      <w:r>
        <w:t xml:space="preserve"> </w:t>
      </w:r>
      <w:r>
        <w:t>working</w:t>
      </w:r>
      <w:r>
        <w:t xml:space="preserve"> </w:t>
      </w:r>
      <w:r>
        <w:t>days.</w:t>
      </w:r>
    </w:p>
    <w:p w14:paraId="449F1BF9" w14:textId="757D2AD9" w:rsidR="00504BAB" w:rsidRDefault="00504BAB" w:rsidP="00504BAB">
      <w:pPr>
        <w:numPr>
          <w:ilvl w:val="1"/>
          <w:numId w:val="1"/>
        </w:numPr>
        <w:spacing w:after="2476"/>
        <w:ind w:hanging="360"/>
      </w:pPr>
      <w:r>
        <w:t>Dean’s</w:t>
      </w:r>
      <w:r>
        <w:t xml:space="preserve"> </w:t>
      </w:r>
      <w:r>
        <w:t>Office</w:t>
      </w:r>
      <w:r>
        <w:t xml:space="preserve"> </w:t>
      </w:r>
      <w:r>
        <w:t>sends</w:t>
      </w:r>
      <w:r>
        <w:t xml:space="preserve"> </w:t>
      </w:r>
      <w:r>
        <w:t>ballots</w:t>
      </w:r>
      <w:r>
        <w:t xml:space="preserve"> </w:t>
      </w:r>
      <w:r>
        <w:t>to</w:t>
      </w:r>
      <w:r>
        <w:t xml:space="preserve"> </w:t>
      </w:r>
      <w:r>
        <w:t>eligible</w:t>
      </w:r>
      <w:r>
        <w:t xml:space="preserve"> </w:t>
      </w:r>
      <w:r>
        <w:t>voting</w:t>
      </w:r>
      <w:r>
        <w:t xml:space="preserve"> </w:t>
      </w:r>
      <w:r>
        <w:t>members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window</w:t>
      </w:r>
      <w:r>
        <w:t xml:space="preserve"> </w:t>
      </w:r>
      <w:r>
        <w:t>of</w:t>
      </w:r>
      <w:r>
        <w:t xml:space="preserve"> </w:t>
      </w:r>
      <w:r>
        <w:t>at</w:t>
      </w:r>
      <w:r>
        <w:t xml:space="preserve"> </w:t>
      </w:r>
      <w:r>
        <w:t>least</w:t>
      </w:r>
      <w:r>
        <w:t xml:space="preserve"> </w:t>
      </w:r>
      <w:r>
        <w:t>five</w:t>
      </w:r>
      <w:r>
        <w:t xml:space="preserve"> </w:t>
      </w:r>
      <w:r>
        <w:t>(5)</w:t>
      </w:r>
      <w:r>
        <w:t xml:space="preserve"> </w:t>
      </w:r>
      <w:r>
        <w:t>working</w:t>
      </w:r>
      <w:r>
        <w:t xml:space="preserve"> </w:t>
      </w:r>
      <w:r>
        <w:t>days.</w:t>
      </w:r>
    </w:p>
    <w:sectPr w:rsidR="00504BAB">
      <w:footerReference w:type="default" r:id="rId11"/>
      <w:pgSz w:w="12240" w:h="15840"/>
      <w:pgMar w:top="1440" w:right="150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55C8" w14:textId="77777777" w:rsidR="00504BAB" w:rsidRDefault="00504BAB" w:rsidP="00504BAB">
      <w:pPr>
        <w:spacing w:after="0" w:line="240" w:lineRule="auto"/>
      </w:pPr>
      <w:r>
        <w:separator/>
      </w:r>
    </w:p>
  </w:endnote>
  <w:endnote w:type="continuationSeparator" w:id="0">
    <w:p w14:paraId="588C148C" w14:textId="77777777" w:rsidR="00504BAB" w:rsidRDefault="00504BAB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E4A8" w14:textId="77777777" w:rsidR="00504BAB" w:rsidRDefault="00504BAB" w:rsidP="00504BAB">
    <w:pPr>
      <w:spacing w:after="0" w:line="259" w:lineRule="auto"/>
      <w:ind w:left="0" w:right="48" w:firstLine="0"/>
      <w:jc w:val="right"/>
    </w:pPr>
    <w:r>
      <w:rPr>
        <w:i/>
        <w:sz w:val="18"/>
      </w:rPr>
      <w:t>February 25, 2020</w:t>
    </w:r>
    <w:r>
      <w:rPr>
        <w:i/>
        <w:sz w:val="12"/>
      </w:rPr>
      <w:t xml:space="preserve"> </w:t>
    </w:r>
  </w:p>
  <w:p w14:paraId="08570E5B" w14:textId="77777777" w:rsidR="00504BAB" w:rsidRDefault="0050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E0EA" w14:textId="77777777" w:rsidR="00504BAB" w:rsidRDefault="00504BAB" w:rsidP="00504BAB">
      <w:pPr>
        <w:spacing w:after="0" w:line="240" w:lineRule="auto"/>
      </w:pPr>
      <w:r>
        <w:separator/>
      </w:r>
    </w:p>
  </w:footnote>
  <w:footnote w:type="continuationSeparator" w:id="0">
    <w:p w14:paraId="77A32B33" w14:textId="77777777" w:rsidR="00504BAB" w:rsidRDefault="00504BAB" w:rsidP="0050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621"/>
    <w:multiLevelType w:val="hybridMultilevel"/>
    <w:tmpl w:val="8B7E0082"/>
    <w:lvl w:ilvl="0" w:tplc="F702B9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C7C02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65C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13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ADE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AF1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C19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01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840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32"/>
    <w:rsid w:val="00504BAB"/>
    <w:rsid w:val="007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E6E0E"/>
  <w15:docId w15:val="{5947DEBA-A0B7-4A76-A1C0-89615C6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5" w:line="250" w:lineRule="auto"/>
      <w:ind w:left="370" w:hanging="370"/>
    </w:pPr>
    <w:rPr>
      <w:rFonts w:ascii="Corbel" w:eastAsia="Corbel" w:hAnsi="Corbel" w:cs="Corbe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0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B"/>
    <w:rPr>
      <w:rFonts w:ascii="Corbel" w:eastAsia="Corbel" w:hAnsi="Corbel" w:cs="Corbe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B"/>
    <w:rPr>
      <w:rFonts w:ascii="Corbel" w:eastAsia="Corbel" w:hAnsi="Corbel" w:cs="Corbe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0EECB234B2E4E8639E467D49ED757" ma:contentTypeVersion="15" ma:contentTypeDescription="Create a new document." ma:contentTypeScope="" ma:versionID="e068fdba178ac237a7a3c9e26e5653ea">
  <xsd:schema xmlns:xsd="http://www.w3.org/2001/XMLSchema" xmlns:xs="http://www.w3.org/2001/XMLSchema" xmlns:p="http://schemas.microsoft.com/office/2006/metadata/properties" xmlns:ns1="http://schemas.microsoft.com/sharepoint/v3" xmlns:ns3="ee8555b3-128d-4e1c-9422-9ff648a334ef" xmlns:ns4="e4fdbec3-4327-4d9b-8a2c-8dfb27ec7829" targetNamespace="http://schemas.microsoft.com/office/2006/metadata/properties" ma:root="true" ma:fieldsID="150082a1d8f9a0dfc1156c1c61024f6c" ns1:_="" ns3:_="" ns4:_="">
    <xsd:import namespace="http://schemas.microsoft.com/sharepoint/v3"/>
    <xsd:import namespace="ee8555b3-128d-4e1c-9422-9ff648a334ef"/>
    <xsd:import namespace="e4fdbec3-4327-4d9b-8a2c-8dfb27ec7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555b3-128d-4e1c-9422-9ff648a3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bec3-4327-4d9b-8a2c-8dfb27ec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078F6-FE0C-4F06-9A3C-F7B8AE77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8555b3-128d-4e1c-9422-9ff648a334ef"/>
    <ds:schemaRef ds:uri="e4fdbec3-4327-4d9b-8a2c-8dfb27ec7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705A9-2DAF-4C71-9BB9-35230B8F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AB38-C80F-4DDD-8524-707E6395A46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ee8555b3-128d-4e1c-9422-9ff648a334e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fdbec3-4327-4d9b-8a2c-8dfb27ec78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Mottola</dc:creator>
  <cp:keywords/>
  <cp:lastModifiedBy>Bonnie Mottola</cp:lastModifiedBy>
  <cp:revision>2</cp:revision>
  <dcterms:created xsi:type="dcterms:W3CDTF">2020-02-25T17:45:00Z</dcterms:created>
  <dcterms:modified xsi:type="dcterms:W3CDTF">2020-02-25T17:45:00Z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0x0101006A00EECB234B2E4E8639E467D49ED757</vt:lpwstr>
  </property>
</Properties>
</file>