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5B531" w14:textId="08902170" w:rsidR="00843EFA" w:rsidRPr="0020201F" w:rsidRDefault="00843EFA" w:rsidP="00843EFA">
      <w:pPr>
        <w:ind w:right="-720"/>
        <w:jc w:val="center"/>
        <w:rPr>
          <w:rFonts w:ascii="Times New Roman" w:hAnsi="Times New Roman" w:cs="Times New Roman"/>
          <w:sz w:val="32"/>
          <w:szCs w:val="24"/>
        </w:rPr>
      </w:pPr>
      <w:r w:rsidRPr="0020201F">
        <w:rPr>
          <w:rFonts w:ascii="Times New Roman" w:hAnsi="Times New Roman" w:cs="Times New Roman"/>
          <w:sz w:val="32"/>
          <w:szCs w:val="24"/>
        </w:rPr>
        <w:t xml:space="preserve">Question 6 </w:t>
      </w:r>
    </w:p>
    <w:p w14:paraId="31050453" w14:textId="77777777" w:rsidR="00817855" w:rsidRPr="00843EFA" w:rsidRDefault="00347653" w:rsidP="0020201F">
      <w:pPr>
        <w:pBdr>
          <w:bottom w:val="single" w:sz="4" w:space="1" w:color="auto"/>
        </w:pBdr>
        <w:ind w:right="-720"/>
        <w:jc w:val="center"/>
        <w:rPr>
          <w:rFonts w:ascii="Times New Roman" w:hAnsi="Times New Roman" w:cs="Times New Roman"/>
          <w:sz w:val="16"/>
          <w:szCs w:val="24"/>
        </w:rPr>
      </w:pPr>
      <w:r w:rsidRPr="00BB3B84">
        <w:rPr>
          <w:rFonts w:ascii="Times New Roman" w:hAnsi="Times New Roman" w:cs="Times New Roman"/>
          <w:sz w:val="24"/>
          <w:szCs w:val="24"/>
        </w:rPr>
        <w:t>Quality Assurance and Improvement: Program Review; Asse</w:t>
      </w:r>
      <w:r w:rsidR="00843EFA">
        <w:rPr>
          <w:rFonts w:ascii="Times New Roman" w:hAnsi="Times New Roman" w:cs="Times New Roman"/>
          <w:sz w:val="24"/>
          <w:szCs w:val="24"/>
        </w:rPr>
        <w:t>ssment; Use of Data and Evidence</w:t>
      </w:r>
    </w:p>
    <w:p w14:paraId="2883B0CE" w14:textId="72B1435D" w:rsidR="00886D43" w:rsidRDefault="00A948F5" w:rsidP="00BA7BD3">
      <w:pPr>
        <w:jc w:val="center"/>
        <w:rPr>
          <w:rFonts w:ascii="Times New Roman" w:hAnsi="Times New Roman" w:cs="Times New Roman"/>
          <w:b/>
          <w:sz w:val="32"/>
          <w:szCs w:val="24"/>
        </w:rPr>
      </w:pPr>
      <w:r>
        <w:rPr>
          <w:rFonts w:ascii="Times New Roman" w:hAnsi="Times New Roman" w:cs="Times New Roman"/>
          <w:b/>
          <w:sz w:val="32"/>
          <w:szCs w:val="24"/>
        </w:rPr>
        <w:t xml:space="preserve">6.1 </w:t>
      </w:r>
      <w:r w:rsidR="00886D43" w:rsidRPr="00BA7BD3">
        <w:rPr>
          <w:rFonts w:ascii="Times New Roman" w:hAnsi="Times New Roman" w:cs="Times New Roman"/>
          <w:b/>
          <w:sz w:val="32"/>
          <w:szCs w:val="24"/>
        </w:rPr>
        <w:t>Assessment</w:t>
      </w:r>
    </w:p>
    <w:p w14:paraId="49113DE0" w14:textId="15724365" w:rsidR="001D5A94" w:rsidRDefault="00A948F5" w:rsidP="0020201F">
      <w:pPr>
        <w:rPr>
          <w:rFonts w:ascii="Times New Roman" w:hAnsi="Times New Roman" w:cs="Times New Roman"/>
          <w:color w:val="000000"/>
          <w:sz w:val="24"/>
          <w:szCs w:val="24"/>
        </w:rPr>
      </w:pPr>
      <w:r>
        <w:rPr>
          <w:rFonts w:ascii="Times New Roman" w:hAnsi="Times New Roman" w:cs="Times New Roman"/>
          <w:b/>
          <w:i/>
          <w:sz w:val="24"/>
          <w:szCs w:val="24"/>
        </w:rPr>
        <w:t xml:space="preserve">6.1.1 </w:t>
      </w:r>
      <w:r w:rsidR="001D5A94" w:rsidRPr="00886D43">
        <w:rPr>
          <w:rFonts w:ascii="Times New Roman" w:hAnsi="Times New Roman" w:cs="Times New Roman"/>
          <w:b/>
          <w:i/>
          <w:sz w:val="24"/>
          <w:szCs w:val="24"/>
        </w:rPr>
        <w:t xml:space="preserve">Annual </w:t>
      </w:r>
      <w:r w:rsidR="008B3B1F" w:rsidRPr="00886D43">
        <w:rPr>
          <w:rFonts w:ascii="Times New Roman" w:hAnsi="Times New Roman" w:cs="Times New Roman"/>
          <w:b/>
          <w:i/>
          <w:sz w:val="24"/>
          <w:szCs w:val="24"/>
        </w:rPr>
        <w:t xml:space="preserve">Assessment </w:t>
      </w:r>
      <w:r w:rsidR="0014588C">
        <w:rPr>
          <w:rFonts w:ascii="Times New Roman" w:hAnsi="Times New Roman" w:cs="Times New Roman"/>
          <w:b/>
          <w:i/>
          <w:sz w:val="24"/>
          <w:szCs w:val="24"/>
        </w:rPr>
        <w:t>(CFRs</w:t>
      </w:r>
      <w:r w:rsidR="006B5E26" w:rsidRPr="00886D43">
        <w:rPr>
          <w:rFonts w:ascii="Times New Roman" w:hAnsi="Times New Roman" w:cs="Times New Roman"/>
          <w:b/>
          <w:i/>
          <w:sz w:val="24"/>
          <w:szCs w:val="24"/>
        </w:rPr>
        <w:t xml:space="preserve"> </w:t>
      </w:r>
      <w:r w:rsidR="00B93338" w:rsidRPr="00886D43">
        <w:rPr>
          <w:rFonts w:ascii="Times New Roman" w:hAnsi="Times New Roman" w:cs="Times New Roman"/>
          <w:b/>
          <w:i/>
          <w:sz w:val="24"/>
          <w:szCs w:val="24"/>
        </w:rPr>
        <w:t xml:space="preserve">2.4, 2.6, 4.1, </w:t>
      </w:r>
      <w:r w:rsidR="0014588C">
        <w:rPr>
          <w:rFonts w:ascii="Times New Roman" w:hAnsi="Times New Roman" w:cs="Times New Roman"/>
          <w:b/>
          <w:i/>
          <w:sz w:val="24"/>
          <w:szCs w:val="24"/>
        </w:rPr>
        <w:t xml:space="preserve">4.3, </w:t>
      </w:r>
      <w:r w:rsidR="00B93338" w:rsidRPr="00886D43">
        <w:rPr>
          <w:rFonts w:ascii="Times New Roman" w:hAnsi="Times New Roman" w:cs="Times New Roman"/>
          <w:b/>
          <w:i/>
          <w:sz w:val="24"/>
          <w:szCs w:val="24"/>
        </w:rPr>
        <w:t>4.4)</w:t>
      </w:r>
    </w:p>
    <w:p w14:paraId="357F8C1F" w14:textId="4BE4A3F9" w:rsidR="008B3B1F" w:rsidRPr="00BB3B84" w:rsidRDefault="00A948F5" w:rsidP="008B3B1F">
      <w:pPr>
        <w:pStyle w:val="ListParagraph"/>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u w:val="single"/>
        </w:rPr>
        <w:t xml:space="preserve">6.1.1.1 </w:t>
      </w:r>
      <w:r w:rsidR="001D5A94" w:rsidRPr="00BB3B84">
        <w:rPr>
          <w:rFonts w:ascii="Times New Roman" w:hAnsi="Times New Roman" w:cs="Times New Roman"/>
          <w:color w:val="000000"/>
          <w:sz w:val="24"/>
          <w:szCs w:val="24"/>
          <w:u w:val="single"/>
        </w:rPr>
        <w:t xml:space="preserve">History of </w:t>
      </w:r>
      <w:r w:rsidR="001D5A94">
        <w:rPr>
          <w:rFonts w:ascii="Times New Roman" w:hAnsi="Times New Roman" w:cs="Times New Roman"/>
          <w:color w:val="000000"/>
          <w:sz w:val="24"/>
          <w:szCs w:val="24"/>
          <w:u w:val="single"/>
        </w:rPr>
        <w:t xml:space="preserve">Annual </w:t>
      </w:r>
      <w:r w:rsidR="001D5A94" w:rsidRPr="00BB3B84">
        <w:rPr>
          <w:rFonts w:ascii="Times New Roman" w:hAnsi="Times New Roman" w:cs="Times New Roman"/>
          <w:color w:val="000000"/>
          <w:sz w:val="24"/>
          <w:szCs w:val="24"/>
          <w:u w:val="single"/>
        </w:rPr>
        <w:t xml:space="preserve">Assessment - </w:t>
      </w:r>
      <w:r w:rsidR="00B93338">
        <w:rPr>
          <w:rFonts w:ascii="Times New Roman" w:hAnsi="Times New Roman" w:cs="Times New Roman"/>
          <w:color w:val="000000"/>
          <w:sz w:val="24"/>
          <w:szCs w:val="24"/>
        </w:rPr>
        <w:t>Since</w:t>
      </w:r>
      <w:r w:rsidR="00F703A1" w:rsidRPr="00B91857">
        <w:rPr>
          <w:rFonts w:ascii="Times New Roman" w:hAnsi="Times New Roman" w:cs="Times New Roman"/>
          <w:color w:val="000000"/>
          <w:sz w:val="24"/>
          <w:szCs w:val="24"/>
        </w:rPr>
        <w:t xml:space="preserve"> 2006, departments offering majors for undergraduate degrees and</w:t>
      </w:r>
      <w:r w:rsidR="008C143B">
        <w:rPr>
          <w:rFonts w:ascii="Times New Roman" w:hAnsi="Times New Roman" w:cs="Times New Roman"/>
          <w:color w:val="000000"/>
          <w:sz w:val="24"/>
          <w:szCs w:val="24"/>
        </w:rPr>
        <w:t xml:space="preserve"> graduate</w:t>
      </w:r>
      <w:r w:rsidR="00EC1FC1">
        <w:rPr>
          <w:rFonts w:ascii="Times New Roman" w:hAnsi="Times New Roman" w:cs="Times New Roman"/>
          <w:color w:val="000000"/>
          <w:sz w:val="24"/>
          <w:szCs w:val="24"/>
        </w:rPr>
        <w:t xml:space="preserve"> </w:t>
      </w:r>
      <w:r w:rsidR="00F703A1" w:rsidRPr="00B91857">
        <w:rPr>
          <w:rFonts w:ascii="Times New Roman" w:hAnsi="Times New Roman" w:cs="Times New Roman"/>
          <w:color w:val="000000"/>
          <w:sz w:val="24"/>
          <w:szCs w:val="24"/>
        </w:rPr>
        <w:t xml:space="preserve">programs </w:t>
      </w:r>
      <w:r w:rsidR="00B93338">
        <w:rPr>
          <w:rFonts w:ascii="Times New Roman" w:hAnsi="Times New Roman" w:cs="Times New Roman"/>
          <w:color w:val="000000"/>
          <w:sz w:val="24"/>
          <w:szCs w:val="24"/>
        </w:rPr>
        <w:t xml:space="preserve">have been </w:t>
      </w:r>
      <w:r w:rsidR="00B93338" w:rsidRPr="00B91857">
        <w:rPr>
          <w:rFonts w:ascii="Times New Roman" w:hAnsi="Times New Roman" w:cs="Times New Roman"/>
          <w:color w:val="000000"/>
          <w:sz w:val="24"/>
          <w:szCs w:val="24"/>
        </w:rPr>
        <w:t>required</w:t>
      </w:r>
      <w:r w:rsidR="00F703A1" w:rsidRPr="00B91857">
        <w:rPr>
          <w:rFonts w:ascii="Times New Roman" w:hAnsi="Times New Roman" w:cs="Times New Roman"/>
          <w:color w:val="000000"/>
          <w:sz w:val="24"/>
          <w:szCs w:val="24"/>
        </w:rPr>
        <w:t xml:space="preserve"> to conduct annual assessments </w:t>
      </w:r>
      <w:r w:rsidR="00F703A1">
        <w:rPr>
          <w:rFonts w:ascii="Times New Roman" w:hAnsi="Times New Roman" w:cs="Times New Roman"/>
          <w:color w:val="000000"/>
          <w:sz w:val="24"/>
          <w:szCs w:val="24"/>
        </w:rPr>
        <w:t>focusing</w:t>
      </w:r>
      <w:r w:rsidR="00F703A1" w:rsidRPr="00B91857">
        <w:rPr>
          <w:rFonts w:ascii="Times New Roman" w:hAnsi="Times New Roman" w:cs="Times New Roman"/>
          <w:color w:val="000000"/>
          <w:sz w:val="24"/>
          <w:szCs w:val="24"/>
        </w:rPr>
        <w:t xml:space="preserve"> on one on or more </w:t>
      </w:r>
      <w:r w:rsidR="00F703A1">
        <w:rPr>
          <w:rFonts w:ascii="Times New Roman" w:hAnsi="Times New Roman" w:cs="Times New Roman"/>
          <w:color w:val="000000"/>
          <w:sz w:val="24"/>
          <w:szCs w:val="24"/>
        </w:rPr>
        <w:t>Program Student Learning O</w:t>
      </w:r>
      <w:r w:rsidR="00F703A1" w:rsidRPr="00B91857">
        <w:rPr>
          <w:rFonts w:ascii="Times New Roman" w:hAnsi="Times New Roman" w:cs="Times New Roman"/>
          <w:color w:val="000000"/>
          <w:sz w:val="24"/>
          <w:szCs w:val="24"/>
        </w:rPr>
        <w:t>utcomes</w:t>
      </w:r>
      <w:r w:rsidR="00F703A1">
        <w:rPr>
          <w:rFonts w:ascii="Times New Roman" w:hAnsi="Times New Roman" w:cs="Times New Roman"/>
          <w:color w:val="000000"/>
          <w:sz w:val="24"/>
          <w:szCs w:val="24"/>
        </w:rPr>
        <w:t xml:space="preserve"> (PSLO</w:t>
      </w:r>
      <w:r w:rsidR="00B93338">
        <w:rPr>
          <w:rFonts w:ascii="Times New Roman" w:hAnsi="Times New Roman" w:cs="Times New Roman"/>
          <w:color w:val="000000"/>
          <w:sz w:val="24"/>
          <w:szCs w:val="24"/>
        </w:rPr>
        <w:t>s</w:t>
      </w:r>
      <w:r w:rsidR="00F703A1">
        <w:rPr>
          <w:rFonts w:ascii="Times New Roman" w:hAnsi="Times New Roman" w:cs="Times New Roman"/>
          <w:color w:val="000000"/>
          <w:sz w:val="24"/>
          <w:szCs w:val="24"/>
        </w:rPr>
        <w:t>)</w:t>
      </w:r>
      <w:r w:rsidR="00F703A1" w:rsidRPr="00B91857">
        <w:rPr>
          <w:rFonts w:ascii="Times New Roman" w:hAnsi="Times New Roman" w:cs="Times New Roman"/>
          <w:color w:val="000000"/>
          <w:sz w:val="24"/>
          <w:szCs w:val="24"/>
        </w:rPr>
        <w:t>.</w:t>
      </w:r>
      <w:r w:rsidR="00F703A1">
        <w:rPr>
          <w:rFonts w:ascii="Times New Roman" w:hAnsi="Times New Roman" w:cs="Times New Roman"/>
          <w:color w:val="000000"/>
          <w:sz w:val="24"/>
          <w:szCs w:val="24"/>
        </w:rPr>
        <w:t xml:space="preserve"> </w:t>
      </w:r>
      <w:r w:rsidR="00F703A1" w:rsidRPr="00B91857">
        <w:rPr>
          <w:rFonts w:ascii="Times New Roman" w:hAnsi="Times New Roman" w:cs="Times New Roman"/>
          <w:color w:val="000000"/>
          <w:sz w:val="24"/>
          <w:szCs w:val="24"/>
        </w:rPr>
        <w:t xml:space="preserve">All department </w:t>
      </w:r>
      <w:r w:rsidR="00F703A1">
        <w:rPr>
          <w:rFonts w:ascii="Times New Roman" w:hAnsi="Times New Roman" w:cs="Times New Roman"/>
          <w:color w:val="000000"/>
          <w:sz w:val="24"/>
          <w:szCs w:val="24"/>
        </w:rPr>
        <w:t xml:space="preserve">PSLOs </w:t>
      </w:r>
      <w:r w:rsidR="005B1297">
        <w:rPr>
          <w:rFonts w:ascii="Times New Roman" w:hAnsi="Times New Roman" w:cs="Times New Roman"/>
          <w:color w:val="000000"/>
          <w:sz w:val="24"/>
          <w:szCs w:val="24"/>
        </w:rPr>
        <w:t xml:space="preserve">are </w:t>
      </w:r>
      <w:r w:rsidR="00F703A1" w:rsidRPr="00B91857">
        <w:rPr>
          <w:rFonts w:ascii="Times New Roman" w:hAnsi="Times New Roman" w:cs="Times New Roman"/>
          <w:color w:val="000000"/>
          <w:sz w:val="24"/>
          <w:szCs w:val="24"/>
        </w:rPr>
        <w:t xml:space="preserve">published in the </w:t>
      </w:r>
      <w:r w:rsidR="00B93338">
        <w:rPr>
          <w:rFonts w:ascii="Times New Roman" w:hAnsi="Times New Roman" w:cs="Times New Roman"/>
          <w:color w:val="000000"/>
          <w:sz w:val="24"/>
          <w:szCs w:val="24"/>
        </w:rPr>
        <w:t>U</w:t>
      </w:r>
      <w:r w:rsidR="00F703A1" w:rsidRPr="00B91857">
        <w:rPr>
          <w:rFonts w:ascii="Times New Roman" w:hAnsi="Times New Roman" w:cs="Times New Roman"/>
          <w:color w:val="000000"/>
          <w:sz w:val="24"/>
          <w:szCs w:val="24"/>
        </w:rPr>
        <w:t xml:space="preserve">niversity </w:t>
      </w:r>
      <w:r w:rsidR="00B93338">
        <w:rPr>
          <w:rFonts w:ascii="Times New Roman" w:hAnsi="Times New Roman" w:cs="Times New Roman"/>
          <w:color w:val="000000"/>
          <w:sz w:val="24"/>
          <w:szCs w:val="24"/>
        </w:rPr>
        <w:t>C</w:t>
      </w:r>
      <w:r w:rsidR="00F703A1" w:rsidRPr="00B91857">
        <w:rPr>
          <w:rFonts w:ascii="Times New Roman" w:hAnsi="Times New Roman" w:cs="Times New Roman"/>
          <w:color w:val="000000"/>
          <w:sz w:val="24"/>
          <w:szCs w:val="24"/>
        </w:rPr>
        <w:t xml:space="preserve">atalog </w:t>
      </w:r>
      <w:r w:rsidR="005B1297">
        <w:rPr>
          <w:rFonts w:ascii="Times New Roman" w:hAnsi="Times New Roman" w:cs="Times New Roman"/>
          <w:color w:val="000000"/>
          <w:sz w:val="24"/>
          <w:szCs w:val="24"/>
        </w:rPr>
        <w:t xml:space="preserve">as of </w:t>
      </w:r>
      <w:r w:rsidR="00F703A1" w:rsidRPr="00B91857">
        <w:rPr>
          <w:rFonts w:ascii="Times New Roman" w:hAnsi="Times New Roman" w:cs="Times New Roman"/>
          <w:color w:val="000000"/>
          <w:sz w:val="24"/>
          <w:szCs w:val="24"/>
        </w:rPr>
        <w:t xml:space="preserve">2008. </w:t>
      </w:r>
      <w:r w:rsidR="005B1297">
        <w:rPr>
          <w:rFonts w:ascii="Times New Roman" w:hAnsi="Times New Roman" w:cs="Times New Roman"/>
          <w:color w:val="000000"/>
          <w:sz w:val="24"/>
          <w:szCs w:val="24"/>
        </w:rPr>
        <w:t>The oversight of assessment has evolved on the campus. From the</w:t>
      </w:r>
      <w:r w:rsidR="00F703A1" w:rsidRPr="00B91857">
        <w:rPr>
          <w:rFonts w:ascii="Times New Roman" w:hAnsi="Times New Roman" w:cs="Times New Roman"/>
          <w:color w:val="000000"/>
          <w:sz w:val="24"/>
          <w:szCs w:val="24"/>
        </w:rPr>
        <w:t xml:space="preserve"> Learning Outcomes</w:t>
      </w:r>
      <w:r w:rsidR="00F703A1">
        <w:rPr>
          <w:rFonts w:ascii="Times New Roman" w:hAnsi="Times New Roman" w:cs="Times New Roman"/>
          <w:color w:val="000000"/>
          <w:sz w:val="24"/>
          <w:szCs w:val="24"/>
        </w:rPr>
        <w:t xml:space="preserve"> and Assessment Fellow (LOAF)</w:t>
      </w:r>
      <w:r w:rsidR="00F703A1" w:rsidRPr="00B91857">
        <w:rPr>
          <w:rFonts w:ascii="Times New Roman" w:hAnsi="Times New Roman" w:cs="Times New Roman"/>
          <w:color w:val="000000"/>
          <w:sz w:val="24"/>
          <w:szCs w:val="24"/>
        </w:rPr>
        <w:t xml:space="preserve"> </w:t>
      </w:r>
      <w:r w:rsidR="005B1297">
        <w:rPr>
          <w:rFonts w:ascii="Times New Roman" w:hAnsi="Times New Roman" w:cs="Times New Roman"/>
          <w:color w:val="000000"/>
          <w:sz w:val="24"/>
          <w:szCs w:val="24"/>
        </w:rPr>
        <w:t>position created in 2008, to the combined efforts of the LOAF and the GE Assessment Coordinator (</w:t>
      </w:r>
      <w:r w:rsidR="00BA7BD3">
        <w:rPr>
          <w:rFonts w:ascii="Times New Roman" w:hAnsi="Times New Roman" w:cs="Times New Roman"/>
          <w:color w:val="000000"/>
          <w:sz w:val="24"/>
          <w:szCs w:val="24"/>
        </w:rPr>
        <w:t>both</w:t>
      </w:r>
      <w:r w:rsidR="0020201F">
        <w:rPr>
          <w:rFonts w:ascii="Times New Roman" w:hAnsi="Times New Roman" w:cs="Times New Roman"/>
          <w:color w:val="000000"/>
          <w:sz w:val="24"/>
          <w:szCs w:val="24"/>
        </w:rPr>
        <w:t xml:space="preserve"> appointed </w:t>
      </w:r>
      <w:r w:rsidR="005B1297">
        <w:rPr>
          <w:rFonts w:ascii="Times New Roman" w:hAnsi="Times New Roman" w:cs="Times New Roman"/>
          <w:color w:val="000000"/>
          <w:sz w:val="24"/>
          <w:szCs w:val="24"/>
        </w:rPr>
        <w:t>faculty</w:t>
      </w:r>
      <w:r w:rsidR="0020201F">
        <w:rPr>
          <w:rFonts w:ascii="Times New Roman" w:hAnsi="Times New Roman" w:cs="Times New Roman"/>
          <w:color w:val="000000"/>
          <w:sz w:val="24"/>
          <w:szCs w:val="24"/>
        </w:rPr>
        <w:t xml:space="preserve"> </w:t>
      </w:r>
      <w:r w:rsidR="005B1297">
        <w:rPr>
          <w:rFonts w:ascii="Times New Roman" w:hAnsi="Times New Roman" w:cs="Times New Roman"/>
          <w:color w:val="000000"/>
          <w:sz w:val="24"/>
          <w:szCs w:val="24"/>
        </w:rPr>
        <w:t>position</w:t>
      </w:r>
      <w:r w:rsidR="00BA7BD3">
        <w:rPr>
          <w:rFonts w:ascii="Times New Roman" w:hAnsi="Times New Roman" w:cs="Times New Roman"/>
          <w:color w:val="000000"/>
          <w:sz w:val="24"/>
          <w:szCs w:val="24"/>
        </w:rPr>
        <w:t>s</w:t>
      </w:r>
      <w:r w:rsidR="005B1297">
        <w:rPr>
          <w:rFonts w:ascii="Times New Roman" w:hAnsi="Times New Roman" w:cs="Times New Roman"/>
          <w:color w:val="000000"/>
          <w:sz w:val="24"/>
          <w:szCs w:val="24"/>
        </w:rPr>
        <w:t>)</w:t>
      </w:r>
      <w:r w:rsidR="00970465">
        <w:rPr>
          <w:rFonts w:ascii="Times New Roman" w:hAnsi="Times New Roman" w:cs="Times New Roman"/>
          <w:color w:val="000000"/>
          <w:sz w:val="24"/>
          <w:szCs w:val="24"/>
        </w:rPr>
        <w:t>,</w:t>
      </w:r>
      <w:r w:rsidR="005B1297">
        <w:rPr>
          <w:rFonts w:ascii="Times New Roman" w:hAnsi="Times New Roman" w:cs="Times New Roman"/>
          <w:color w:val="000000"/>
          <w:sz w:val="24"/>
          <w:szCs w:val="24"/>
        </w:rPr>
        <w:t xml:space="preserve"> in</w:t>
      </w:r>
      <w:r w:rsidR="00314811">
        <w:rPr>
          <w:rFonts w:ascii="Times New Roman" w:hAnsi="Times New Roman" w:cs="Times New Roman"/>
          <w:color w:val="000000"/>
          <w:sz w:val="24"/>
          <w:szCs w:val="24"/>
        </w:rPr>
        <w:t>to the Director of Assessment in</w:t>
      </w:r>
      <w:r w:rsidR="005B1297">
        <w:rPr>
          <w:rFonts w:ascii="Times New Roman" w:hAnsi="Times New Roman" w:cs="Times New Roman"/>
          <w:color w:val="000000"/>
          <w:sz w:val="24"/>
          <w:szCs w:val="24"/>
        </w:rPr>
        <w:t xml:space="preserve"> 2012, the campus has placed an increased amount of attention to assessment and assessment practices and policie</w:t>
      </w:r>
      <w:r w:rsidR="00272753">
        <w:rPr>
          <w:rFonts w:ascii="Times New Roman" w:hAnsi="Times New Roman" w:cs="Times New Roman"/>
          <w:color w:val="000000"/>
          <w:sz w:val="24"/>
          <w:szCs w:val="24"/>
        </w:rPr>
        <w:t xml:space="preserve">s. In 2014, the campus hired a University </w:t>
      </w:r>
      <w:r w:rsidR="005B1297">
        <w:rPr>
          <w:rFonts w:ascii="Times New Roman" w:hAnsi="Times New Roman" w:cs="Times New Roman"/>
          <w:color w:val="000000"/>
          <w:sz w:val="24"/>
          <w:szCs w:val="24"/>
        </w:rPr>
        <w:t xml:space="preserve">Assessment Specialist, a full-time staff position devoted solely to all assessment efforts on campus. </w:t>
      </w:r>
      <w:r w:rsidR="00314811">
        <w:rPr>
          <w:rFonts w:ascii="Times New Roman" w:hAnsi="Times New Roman" w:cs="Times New Roman"/>
          <w:color w:val="000000"/>
          <w:sz w:val="24"/>
          <w:szCs w:val="24"/>
        </w:rPr>
        <w:t xml:space="preserve">While assessment oversight </w:t>
      </w:r>
      <w:r w:rsidR="00EC1FC1">
        <w:rPr>
          <w:rFonts w:ascii="Times New Roman" w:hAnsi="Times New Roman" w:cs="Times New Roman"/>
          <w:color w:val="000000"/>
          <w:sz w:val="24"/>
          <w:szCs w:val="24"/>
        </w:rPr>
        <w:t xml:space="preserve">has </w:t>
      </w:r>
      <w:r w:rsidR="00314811">
        <w:rPr>
          <w:rFonts w:ascii="Times New Roman" w:hAnsi="Times New Roman" w:cs="Times New Roman"/>
          <w:color w:val="000000"/>
          <w:sz w:val="24"/>
          <w:szCs w:val="24"/>
        </w:rPr>
        <w:t xml:space="preserve">continued to evolve over the years, assessment efforts on campus </w:t>
      </w:r>
      <w:r w:rsidR="00EC1FC1">
        <w:rPr>
          <w:rFonts w:ascii="Times New Roman" w:hAnsi="Times New Roman" w:cs="Times New Roman"/>
          <w:color w:val="000000"/>
          <w:sz w:val="24"/>
          <w:szCs w:val="24"/>
        </w:rPr>
        <w:t xml:space="preserve">have </w:t>
      </w:r>
      <w:r w:rsidR="00314811">
        <w:rPr>
          <w:rFonts w:ascii="Times New Roman" w:hAnsi="Times New Roman" w:cs="Times New Roman"/>
          <w:color w:val="000000"/>
          <w:sz w:val="24"/>
          <w:szCs w:val="24"/>
        </w:rPr>
        <w:t xml:space="preserve">continued to evolve as well. Over the last five years, colleges, departments, and programs </w:t>
      </w:r>
      <w:r w:rsidR="00EC1FC1">
        <w:rPr>
          <w:rFonts w:ascii="Times New Roman" w:hAnsi="Times New Roman" w:cs="Times New Roman"/>
          <w:color w:val="000000"/>
          <w:sz w:val="24"/>
          <w:szCs w:val="24"/>
        </w:rPr>
        <w:t xml:space="preserve">have </w:t>
      </w:r>
      <w:r w:rsidR="00314811">
        <w:rPr>
          <w:rFonts w:ascii="Times New Roman" w:hAnsi="Times New Roman" w:cs="Times New Roman"/>
          <w:color w:val="000000"/>
          <w:sz w:val="24"/>
          <w:szCs w:val="24"/>
        </w:rPr>
        <w:t>worked to refine missions and PSLOs, create curriculum maps, and develop sustainable assessment practices.</w:t>
      </w:r>
      <w:r w:rsidR="00F703A1" w:rsidRPr="00B91857">
        <w:rPr>
          <w:rFonts w:ascii="Times New Roman" w:hAnsi="Times New Roman" w:cs="Times New Roman"/>
          <w:color w:val="000000"/>
          <w:sz w:val="24"/>
          <w:szCs w:val="24"/>
        </w:rPr>
        <w:t xml:space="preserve"> </w:t>
      </w:r>
      <w:r w:rsidR="00314811">
        <w:rPr>
          <w:rFonts w:ascii="Times New Roman" w:hAnsi="Times New Roman" w:cs="Times New Roman"/>
          <w:color w:val="000000"/>
          <w:sz w:val="24"/>
          <w:szCs w:val="24"/>
        </w:rPr>
        <w:t xml:space="preserve">It is important to note that early efforts of the </w:t>
      </w:r>
      <w:r w:rsidR="00F703A1" w:rsidRPr="00B91857">
        <w:rPr>
          <w:rFonts w:ascii="Times New Roman" w:hAnsi="Times New Roman" w:cs="Times New Roman"/>
          <w:color w:val="000000"/>
          <w:sz w:val="24"/>
          <w:szCs w:val="24"/>
        </w:rPr>
        <w:t xml:space="preserve">LOAF </w:t>
      </w:r>
      <w:r w:rsidR="00314811">
        <w:rPr>
          <w:rFonts w:ascii="Times New Roman" w:hAnsi="Times New Roman" w:cs="Times New Roman"/>
          <w:color w:val="000000"/>
          <w:sz w:val="24"/>
          <w:szCs w:val="24"/>
        </w:rPr>
        <w:t xml:space="preserve">and </w:t>
      </w:r>
      <w:r w:rsidR="00EC1FC1">
        <w:rPr>
          <w:rFonts w:ascii="Times New Roman" w:hAnsi="Times New Roman" w:cs="Times New Roman"/>
          <w:color w:val="000000"/>
          <w:sz w:val="24"/>
          <w:szCs w:val="24"/>
        </w:rPr>
        <w:t>GE</w:t>
      </w:r>
      <w:r w:rsidR="00314811">
        <w:rPr>
          <w:rFonts w:ascii="Times New Roman" w:hAnsi="Times New Roman" w:cs="Times New Roman"/>
          <w:color w:val="000000"/>
          <w:sz w:val="24"/>
          <w:szCs w:val="24"/>
        </w:rPr>
        <w:t xml:space="preserve"> Assessment </w:t>
      </w:r>
      <w:r w:rsidR="00EC1FC1">
        <w:rPr>
          <w:rFonts w:ascii="Times New Roman" w:hAnsi="Times New Roman" w:cs="Times New Roman"/>
          <w:color w:val="000000"/>
          <w:sz w:val="24"/>
          <w:szCs w:val="24"/>
        </w:rPr>
        <w:t xml:space="preserve">Coordinator </w:t>
      </w:r>
      <w:r w:rsidR="00314811">
        <w:rPr>
          <w:rFonts w:ascii="Times New Roman" w:hAnsi="Times New Roman" w:cs="Times New Roman"/>
          <w:color w:val="000000"/>
          <w:sz w:val="24"/>
          <w:szCs w:val="24"/>
        </w:rPr>
        <w:t>were</w:t>
      </w:r>
      <w:r w:rsidR="00F703A1" w:rsidRPr="00B91857">
        <w:rPr>
          <w:rFonts w:ascii="Times New Roman" w:hAnsi="Times New Roman" w:cs="Times New Roman"/>
          <w:color w:val="000000"/>
          <w:sz w:val="24"/>
          <w:szCs w:val="24"/>
        </w:rPr>
        <w:t xml:space="preserve"> integral to shifting the culture around assessment activities and </w:t>
      </w:r>
      <w:r w:rsidR="00F703A1">
        <w:rPr>
          <w:rFonts w:ascii="Times New Roman" w:hAnsi="Times New Roman" w:cs="Times New Roman"/>
          <w:color w:val="000000"/>
          <w:sz w:val="24"/>
          <w:szCs w:val="24"/>
        </w:rPr>
        <w:t>encouraging</w:t>
      </w:r>
      <w:r w:rsidR="00F703A1" w:rsidRPr="00B91857">
        <w:rPr>
          <w:rFonts w:ascii="Times New Roman" w:hAnsi="Times New Roman" w:cs="Times New Roman"/>
          <w:color w:val="000000"/>
          <w:sz w:val="24"/>
          <w:szCs w:val="24"/>
        </w:rPr>
        <w:t xml:space="preserve"> departments</w:t>
      </w:r>
      <w:r w:rsidR="00F703A1">
        <w:rPr>
          <w:rFonts w:ascii="Times New Roman" w:hAnsi="Times New Roman" w:cs="Times New Roman"/>
          <w:color w:val="000000"/>
          <w:sz w:val="24"/>
          <w:szCs w:val="24"/>
        </w:rPr>
        <w:t xml:space="preserve"> and programs</w:t>
      </w:r>
      <w:r w:rsidR="00F703A1" w:rsidRPr="00B91857">
        <w:rPr>
          <w:rFonts w:ascii="Times New Roman" w:hAnsi="Times New Roman" w:cs="Times New Roman"/>
          <w:color w:val="000000"/>
          <w:sz w:val="24"/>
          <w:szCs w:val="24"/>
        </w:rPr>
        <w:t xml:space="preserve"> to ask assessment questions that were meaningful to them.</w:t>
      </w:r>
      <w:r w:rsidR="00F703A1">
        <w:rPr>
          <w:rFonts w:ascii="Times New Roman" w:hAnsi="Times New Roman" w:cs="Times New Roman"/>
          <w:color w:val="000000"/>
          <w:sz w:val="24"/>
          <w:szCs w:val="24"/>
        </w:rPr>
        <w:t xml:space="preserve"> </w:t>
      </w:r>
      <w:r w:rsidR="00F703A1" w:rsidRPr="00B91857">
        <w:rPr>
          <w:rFonts w:ascii="Times New Roman" w:hAnsi="Times New Roman" w:cs="Times New Roman"/>
          <w:color w:val="000000"/>
          <w:sz w:val="24"/>
          <w:szCs w:val="24"/>
        </w:rPr>
        <w:t>The LOAF also worked with departments on annual reports that described how student learning</w:t>
      </w:r>
      <w:r w:rsidR="00F703A1">
        <w:rPr>
          <w:rFonts w:ascii="Times New Roman" w:hAnsi="Times New Roman" w:cs="Times New Roman"/>
          <w:color w:val="000000"/>
          <w:sz w:val="24"/>
          <w:szCs w:val="24"/>
        </w:rPr>
        <w:t xml:space="preserve"> was measured</w:t>
      </w:r>
      <w:r w:rsidR="00F703A1" w:rsidRPr="00B91857">
        <w:rPr>
          <w:rFonts w:ascii="Times New Roman" w:hAnsi="Times New Roman" w:cs="Times New Roman"/>
          <w:color w:val="000000"/>
          <w:sz w:val="24"/>
          <w:szCs w:val="24"/>
        </w:rPr>
        <w:t xml:space="preserve">, the results of the assessments, and how these assessment findings </w:t>
      </w:r>
      <w:r w:rsidR="00F703A1">
        <w:rPr>
          <w:rFonts w:ascii="Times New Roman" w:hAnsi="Times New Roman" w:cs="Times New Roman"/>
          <w:color w:val="000000"/>
          <w:sz w:val="24"/>
          <w:szCs w:val="24"/>
        </w:rPr>
        <w:t>led</w:t>
      </w:r>
      <w:r w:rsidR="00F703A1" w:rsidRPr="00B91857">
        <w:rPr>
          <w:rFonts w:ascii="Times New Roman" w:hAnsi="Times New Roman" w:cs="Times New Roman"/>
          <w:color w:val="000000"/>
          <w:sz w:val="24"/>
          <w:szCs w:val="24"/>
        </w:rPr>
        <w:t xml:space="preserve"> to </w:t>
      </w:r>
      <w:r w:rsidR="00F703A1">
        <w:rPr>
          <w:rFonts w:ascii="Times New Roman" w:hAnsi="Times New Roman" w:cs="Times New Roman"/>
          <w:color w:val="000000"/>
          <w:sz w:val="24"/>
          <w:szCs w:val="24"/>
        </w:rPr>
        <w:t xml:space="preserve">improvement of student learning.  </w:t>
      </w:r>
      <w:r w:rsidR="00F703A1" w:rsidRPr="00B91857">
        <w:rPr>
          <w:rFonts w:ascii="Times New Roman" w:hAnsi="Times New Roman" w:cs="Times New Roman"/>
          <w:color w:val="000000"/>
          <w:sz w:val="24"/>
          <w:szCs w:val="24"/>
        </w:rPr>
        <w:t>By 2012, the majority of departments were submitting annual assessment reports</w:t>
      </w:r>
      <w:r w:rsidR="00B93338">
        <w:rPr>
          <w:rFonts w:ascii="Times New Roman" w:hAnsi="Times New Roman" w:cs="Times New Roman"/>
          <w:color w:val="000000"/>
          <w:sz w:val="24"/>
          <w:szCs w:val="24"/>
        </w:rPr>
        <w:t>,</w:t>
      </w:r>
      <w:r w:rsidR="00F703A1" w:rsidRPr="00B91857">
        <w:rPr>
          <w:rFonts w:ascii="Times New Roman" w:hAnsi="Times New Roman" w:cs="Times New Roman"/>
          <w:color w:val="000000"/>
          <w:sz w:val="24"/>
          <w:szCs w:val="24"/>
        </w:rPr>
        <w:t xml:space="preserve"> </w:t>
      </w:r>
      <w:r w:rsidR="00F703A1">
        <w:rPr>
          <w:rFonts w:ascii="Times New Roman" w:hAnsi="Times New Roman" w:cs="Times New Roman"/>
          <w:color w:val="000000"/>
          <w:sz w:val="24"/>
          <w:szCs w:val="24"/>
        </w:rPr>
        <w:t>which meant that</w:t>
      </w:r>
      <w:r w:rsidR="00F703A1" w:rsidRPr="00B91857">
        <w:rPr>
          <w:rFonts w:ascii="Times New Roman" w:hAnsi="Times New Roman" w:cs="Times New Roman"/>
          <w:color w:val="000000"/>
          <w:sz w:val="24"/>
          <w:szCs w:val="24"/>
        </w:rPr>
        <w:t xml:space="preserve"> </w:t>
      </w:r>
      <w:r w:rsidR="00F703A1">
        <w:rPr>
          <w:rFonts w:ascii="Times New Roman" w:hAnsi="Times New Roman" w:cs="Times New Roman"/>
          <w:color w:val="000000"/>
          <w:sz w:val="24"/>
          <w:szCs w:val="24"/>
        </w:rPr>
        <w:t>the</w:t>
      </w:r>
      <w:r w:rsidR="00F703A1" w:rsidRPr="00B91857">
        <w:rPr>
          <w:rFonts w:ascii="Times New Roman" w:hAnsi="Times New Roman" w:cs="Times New Roman"/>
          <w:color w:val="000000"/>
          <w:sz w:val="24"/>
          <w:szCs w:val="24"/>
        </w:rPr>
        <w:t xml:space="preserve"> process had become part of the culture at CSUSM.</w:t>
      </w:r>
      <w:r w:rsidR="008B3B1F" w:rsidRPr="00BB3B84">
        <w:rPr>
          <w:rFonts w:ascii="Times New Roman" w:hAnsi="Times New Roman" w:cs="Times New Roman"/>
          <w:sz w:val="24"/>
          <w:szCs w:val="24"/>
        </w:rPr>
        <w:tab/>
      </w:r>
    </w:p>
    <w:p w14:paraId="792F619E" w14:textId="77777777" w:rsidR="008B3B1F" w:rsidRPr="00BB3B84" w:rsidRDefault="008B3B1F" w:rsidP="008B3B1F">
      <w:pPr>
        <w:shd w:val="clear" w:color="auto" w:fill="FFFFFF"/>
        <w:spacing w:line="240" w:lineRule="auto"/>
        <w:rPr>
          <w:rFonts w:ascii="Times New Roman" w:hAnsi="Times New Roman" w:cs="Times New Roman"/>
          <w:color w:val="000000"/>
          <w:sz w:val="24"/>
          <w:szCs w:val="24"/>
        </w:rPr>
      </w:pPr>
    </w:p>
    <w:p w14:paraId="29C0DADE" w14:textId="3A01025F" w:rsidR="00843EFA" w:rsidRPr="00C7631D" w:rsidRDefault="00AA0DFD" w:rsidP="00843EFA">
      <w:pPr>
        <w:shd w:val="clear" w:color="auto" w:fill="FFFFFF"/>
        <w:spacing w:line="240" w:lineRule="auto"/>
        <w:rPr>
          <w:rFonts w:ascii="Times New Roman" w:eastAsia="Times New Roman" w:hAnsi="Times New Roman" w:cs="Times New Roman"/>
          <w:sz w:val="24"/>
          <w:szCs w:val="24"/>
          <w:shd w:val="clear" w:color="auto" w:fill="FFFFFF"/>
        </w:rPr>
      </w:pPr>
      <w:r>
        <w:rPr>
          <w:rFonts w:ascii="Times New Roman" w:hAnsi="Times New Roman" w:cs="Times New Roman"/>
          <w:color w:val="000000"/>
          <w:sz w:val="24"/>
          <w:szCs w:val="24"/>
        </w:rPr>
        <w:t xml:space="preserve">After a year of planning in 2012, assessment </w:t>
      </w:r>
      <w:r w:rsidR="00B93338">
        <w:rPr>
          <w:rFonts w:ascii="Times New Roman" w:hAnsi="Times New Roman" w:cs="Times New Roman"/>
          <w:color w:val="000000"/>
          <w:sz w:val="24"/>
          <w:szCs w:val="24"/>
        </w:rPr>
        <w:t>timelines</w:t>
      </w:r>
      <w:r>
        <w:rPr>
          <w:rFonts w:ascii="Times New Roman" w:hAnsi="Times New Roman" w:cs="Times New Roman"/>
          <w:color w:val="000000"/>
          <w:sz w:val="24"/>
          <w:szCs w:val="24"/>
        </w:rPr>
        <w:t xml:space="preserve"> were developed by all programs,</w:t>
      </w:r>
      <w:r w:rsidR="00B93338">
        <w:rPr>
          <w:rFonts w:ascii="Times New Roman" w:hAnsi="Times New Roman" w:cs="Times New Roman"/>
          <w:color w:val="000000"/>
          <w:sz w:val="24"/>
          <w:szCs w:val="24"/>
        </w:rPr>
        <w:t xml:space="preserve"> </w:t>
      </w:r>
      <w:r w:rsidR="0008481A">
        <w:rPr>
          <w:rFonts w:ascii="Times New Roman" w:hAnsi="Times New Roman" w:cs="Times New Roman"/>
          <w:color w:val="000000"/>
          <w:sz w:val="24"/>
          <w:szCs w:val="24"/>
        </w:rPr>
        <w:t>ideally</w:t>
      </w:r>
      <w:r>
        <w:rPr>
          <w:rFonts w:ascii="Times New Roman" w:hAnsi="Times New Roman" w:cs="Times New Roman"/>
          <w:color w:val="000000"/>
          <w:sz w:val="24"/>
          <w:szCs w:val="24"/>
        </w:rPr>
        <w:t xml:space="preserve"> to</w:t>
      </w:r>
      <w:r w:rsidR="00B93338">
        <w:rPr>
          <w:rFonts w:ascii="Times New Roman" w:hAnsi="Times New Roman" w:cs="Times New Roman"/>
          <w:color w:val="000000"/>
          <w:sz w:val="24"/>
          <w:szCs w:val="24"/>
        </w:rPr>
        <w:t xml:space="preserve"> </w:t>
      </w:r>
      <w:r w:rsidR="00843EFA">
        <w:rPr>
          <w:rFonts w:ascii="Times New Roman" w:hAnsi="Times New Roman" w:cs="Times New Roman"/>
          <w:color w:val="000000"/>
          <w:sz w:val="24"/>
          <w:szCs w:val="24"/>
        </w:rPr>
        <w:t>align</w:t>
      </w:r>
      <w:r w:rsidR="00843EFA" w:rsidRPr="00B91857">
        <w:rPr>
          <w:rFonts w:ascii="Times New Roman" w:hAnsi="Times New Roman" w:cs="Times New Roman"/>
          <w:color w:val="000000"/>
          <w:sz w:val="24"/>
          <w:szCs w:val="24"/>
        </w:rPr>
        <w:t xml:space="preserve"> </w:t>
      </w:r>
      <w:r w:rsidR="00843EFA">
        <w:rPr>
          <w:rFonts w:ascii="Times New Roman" w:hAnsi="Times New Roman" w:cs="Times New Roman"/>
          <w:color w:val="000000"/>
          <w:sz w:val="24"/>
          <w:szCs w:val="24"/>
        </w:rPr>
        <w:t>with</w:t>
      </w:r>
      <w:r w:rsidR="00843EFA" w:rsidRPr="00B91857">
        <w:rPr>
          <w:rFonts w:ascii="Times New Roman" w:hAnsi="Times New Roman" w:cs="Times New Roman"/>
          <w:color w:val="000000"/>
          <w:sz w:val="24"/>
          <w:szCs w:val="24"/>
        </w:rPr>
        <w:t xml:space="preserve"> Program Review </w:t>
      </w:r>
      <w:r w:rsidR="00843EFA">
        <w:rPr>
          <w:rFonts w:ascii="Times New Roman" w:hAnsi="Times New Roman" w:cs="Times New Roman"/>
          <w:color w:val="000000"/>
          <w:sz w:val="24"/>
          <w:szCs w:val="24"/>
        </w:rPr>
        <w:t>activities</w:t>
      </w:r>
      <w:r w:rsidR="00B933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which are</w:t>
      </w:r>
      <w:r w:rsidR="0008481A">
        <w:rPr>
          <w:rFonts w:ascii="Times New Roman" w:hAnsi="Times New Roman" w:cs="Times New Roman"/>
          <w:color w:val="000000"/>
          <w:sz w:val="24"/>
          <w:szCs w:val="24"/>
        </w:rPr>
        <w:t xml:space="preserve"> typical</w:t>
      </w:r>
      <w:r>
        <w:rPr>
          <w:rFonts w:ascii="Times New Roman" w:hAnsi="Times New Roman" w:cs="Times New Roman"/>
          <w:color w:val="000000"/>
          <w:sz w:val="24"/>
          <w:szCs w:val="24"/>
        </w:rPr>
        <w:t>ly on a</w:t>
      </w:r>
      <w:r w:rsidR="0008481A">
        <w:rPr>
          <w:rFonts w:ascii="Times New Roman" w:hAnsi="Times New Roman" w:cs="Times New Roman"/>
          <w:color w:val="000000"/>
          <w:sz w:val="24"/>
          <w:szCs w:val="24"/>
        </w:rPr>
        <w:t xml:space="preserve"> five year </w:t>
      </w:r>
      <w:r>
        <w:rPr>
          <w:rFonts w:ascii="Times New Roman" w:hAnsi="Times New Roman" w:cs="Times New Roman"/>
          <w:color w:val="000000"/>
          <w:sz w:val="24"/>
          <w:szCs w:val="24"/>
        </w:rPr>
        <w:t xml:space="preserve">cycle </w:t>
      </w:r>
      <w:r w:rsidR="00B93338">
        <w:rPr>
          <w:rFonts w:ascii="Times New Roman" w:hAnsi="Times New Roman" w:cs="Times New Roman"/>
          <w:color w:val="000000"/>
          <w:sz w:val="24"/>
          <w:szCs w:val="24"/>
        </w:rPr>
        <w:t>between reviews</w:t>
      </w:r>
      <w:r>
        <w:rPr>
          <w:rFonts w:ascii="Times New Roman" w:hAnsi="Times New Roman" w:cs="Times New Roman"/>
          <w:color w:val="000000"/>
          <w:sz w:val="24"/>
          <w:szCs w:val="24"/>
        </w:rPr>
        <w:t>. D</w:t>
      </w:r>
      <w:r w:rsidRPr="00B91857">
        <w:rPr>
          <w:rFonts w:ascii="Times New Roman" w:hAnsi="Times New Roman" w:cs="Times New Roman"/>
          <w:color w:val="000000"/>
          <w:sz w:val="24"/>
          <w:szCs w:val="24"/>
        </w:rPr>
        <w:t xml:space="preserve">epartments </w:t>
      </w:r>
      <w:r w:rsidR="00843EFA" w:rsidRPr="00B91857">
        <w:rPr>
          <w:rFonts w:ascii="Times New Roman" w:hAnsi="Times New Roman" w:cs="Times New Roman"/>
          <w:color w:val="000000"/>
          <w:sz w:val="24"/>
          <w:szCs w:val="24"/>
        </w:rPr>
        <w:t xml:space="preserve">assess all </w:t>
      </w:r>
      <w:r w:rsidR="00581717">
        <w:rPr>
          <w:rFonts w:ascii="Times New Roman" w:hAnsi="Times New Roman" w:cs="Times New Roman"/>
          <w:color w:val="000000"/>
          <w:sz w:val="24"/>
          <w:szCs w:val="24"/>
        </w:rPr>
        <w:t>PSLOs</w:t>
      </w:r>
      <w:r>
        <w:rPr>
          <w:rFonts w:ascii="Times New Roman" w:hAnsi="Times New Roman" w:cs="Times New Roman"/>
          <w:color w:val="000000"/>
          <w:sz w:val="24"/>
          <w:szCs w:val="24"/>
        </w:rPr>
        <w:t xml:space="preserve"> in the five-year period</w:t>
      </w:r>
      <w:r w:rsidR="00B93338">
        <w:rPr>
          <w:rFonts w:ascii="Times New Roman" w:hAnsi="Times New Roman" w:cs="Times New Roman"/>
          <w:color w:val="000000"/>
          <w:sz w:val="24"/>
          <w:szCs w:val="24"/>
        </w:rPr>
        <w:t xml:space="preserve">, and then have one </w:t>
      </w:r>
      <w:r w:rsidR="00843EFA" w:rsidRPr="00B91857">
        <w:rPr>
          <w:rFonts w:ascii="Times New Roman" w:hAnsi="Times New Roman" w:cs="Times New Roman"/>
          <w:color w:val="000000"/>
          <w:sz w:val="24"/>
          <w:szCs w:val="24"/>
        </w:rPr>
        <w:t xml:space="preserve">year to integrate findings to support their </w:t>
      </w:r>
      <w:r w:rsidR="00B93338">
        <w:rPr>
          <w:rFonts w:ascii="Times New Roman" w:hAnsi="Times New Roman" w:cs="Times New Roman"/>
          <w:color w:val="000000"/>
          <w:sz w:val="24"/>
          <w:szCs w:val="24"/>
        </w:rPr>
        <w:t xml:space="preserve">next </w:t>
      </w:r>
      <w:r w:rsidR="00843EFA" w:rsidRPr="00B91857">
        <w:rPr>
          <w:rFonts w:ascii="Times New Roman" w:hAnsi="Times New Roman" w:cs="Times New Roman"/>
          <w:color w:val="000000"/>
          <w:sz w:val="24"/>
          <w:szCs w:val="24"/>
        </w:rPr>
        <w:t>program review.</w:t>
      </w:r>
      <w:r w:rsidR="00843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sidR="00843EFA" w:rsidRPr="00B91857">
        <w:rPr>
          <w:rFonts w:ascii="Times New Roman" w:hAnsi="Times New Roman" w:cs="Times New Roman"/>
          <w:color w:val="000000"/>
          <w:sz w:val="24"/>
          <w:szCs w:val="24"/>
        </w:rPr>
        <w:t>egular assessment process</w:t>
      </w:r>
      <w:r w:rsidR="00B93338">
        <w:rPr>
          <w:rFonts w:ascii="Times New Roman" w:hAnsi="Times New Roman" w:cs="Times New Roman"/>
          <w:color w:val="000000"/>
          <w:sz w:val="24"/>
          <w:szCs w:val="24"/>
        </w:rPr>
        <w:t xml:space="preserve">es resumed </w:t>
      </w:r>
      <w:r>
        <w:rPr>
          <w:rFonts w:ascii="Times New Roman" w:hAnsi="Times New Roman" w:cs="Times New Roman"/>
          <w:color w:val="000000"/>
          <w:sz w:val="24"/>
          <w:szCs w:val="24"/>
        </w:rPr>
        <w:t xml:space="preserve">in 2012 </w:t>
      </w:r>
      <w:r w:rsidR="0008481A">
        <w:rPr>
          <w:rFonts w:ascii="Times New Roman" w:hAnsi="Times New Roman" w:cs="Times New Roman"/>
          <w:color w:val="000000"/>
          <w:sz w:val="24"/>
          <w:szCs w:val="24"/>
        </w:rPr>
        <w:t xml:space="preserve">and </w:t>
      </w:r>
      <w:r w:rsidR="00843EFA" w:rsidRPr="00B91857">
        <w:rPr>
          <w:rFonts w:ascii="Times New Roman" w:hAnsi="Times New Roman" w:cs="Times New Roman"/>
          <w:sz w:val="24"/>
          <w:szCs w:val="24"/>
        </w:rPr>
        <w:t xml:space="preserve">numerous </w:t>
      </w:r>
      <w:r w:rsidR="00970465">
        <w:rPr>
          <w:rFonts w:ascii="Times New Roman" w:hAnsi="Times New Roman" w:cs="Times New Roman"/>
          <w:sz w:val="24"/>
          <w:szCs w:val="24"/>
        </w:rPr>
        <w:t xml:space="preserve">collaborative </w:t>
      </w:r>
      <w:r w:rsidR="00843EFA" w:rsidRPr="00B91857">
        <w:rPr>
          <w:rFonts w:ascii="Times New Roman" w:hAnsi="Times New Roman" w:cs="Times New Roman"/>
          <w:sz w:val="24"/>
          <w:szCs w:val="24"/>
        </w:rPr>
        <w:t xml:space="preserve">workshops </w:t>
      </w:r>
      <w:r w:rsidR="00970465">
        <w:rPr>
          <w:rFonts w:ascii="Times New Roman" w:hAnsi="Times New Roman" w:cs="Times New Roman"/>
          <w:sz w:val="24"/>
          <w:szCs w:val="24"/>
        </w:rPr>
        <w:t xml:space="preserve">were held by Academic Programs and the </w:t>
      </w:r>
      <w:r w:rsidR="0008481A">
        <w:rPr>
          <w:rFonts w:ascii="Times New Roman" w:hAnsi="Times New Roman" w:cs="Times New Roman"/>
          <w:sz w:val="24"/>
          <w:szCs w:val="24"/>
        </w:rPr>
        <w:t xml:space="preserve">Faculty Center </w:t>
      </w:r>
      <w:r w:rsidR="00843EFA" w:rsidRPr="00B91857">
        <w:rPr>
          <w:rFonts w:ascii="Times New Roman" w:hAnsi="Times New Roman" w:cs="Times New Roman"/>
          <w:sz w:val="24"/>
          <w:szCs w:val="24"/>
        </w:rPr>
        <w:t xml:space="preserve">to support </w:t>
      </w:r>
      <w:r w:rsidR="0008481A">
        <w:rPr>
          <w:rFonts w:ascii="Times New Roman" w:hAnsi="Times New Roman" w:cs="Times New Roman"/>
          <w:sz w:val="24"/>
          <w:szCs w:val="24"/>
        </w:rPr>
        <w:t>further PSLO revision and timeline development by departments.  For example, in F</w:t>
      </w:r>
      <w:r w:rsidR="00843EFA" w:rsidRPr="00B91857">
        <w:rPr>
          <w:rFonts w:ascii="Times New Roman" w:hAnsi="Times New Roman" w:cs="Times New Roman"/>
          <w:sz w:val="24"/>
          <w:szCs w:val="24"/>
        </w:rPr>
        <w:t xml:space="preserve">all 2012 </w:t>
      </w:r>
      <w:r w:rsidR="00970465">
        <w:rPr>
          <w:rFonts w:ascii="Times New Roman" w:hAnsi="Times New Roman" w:cs="Times New Roman"/>
          <w:sz w:val="24"/>
          <w:szCs w:val="24"/>
        </w:rPr>
        <w:t>forty</w:t>
      </w:r>
      <w:r w:rsidR="00843EFA">
        <w:rPr>
          <w:rFonts w:ascii="Times New Roman" w:hAnsi="Times New Roman" w:cs="Times New Roman"/>
          <w:sz w:val="24"/>
          <w:szCs w:val="24"/>
        </w:rPr>
        <w:t xml:space="preserve"> faculty</w:t>
      </w:r>
      <w:r w:rsidR="00843EFA" w:rsidRPr="00B91857">
        <w:rPr>
          <w:rFonts w:ascii="Times New Roman" w:hAnsi="Times New Roman" w:cs="Times New Roman"/>
          <w:sz w:val="24"/>
          <w:szCs w:val="24"/>
        </w:rPr>
        <w:t xml:space="preserve"> </w:t>
      </w:r>
      <w:r w:rsidR="00843EFA">
        <w:rPr>
          <w:rFonts w:ascii="Times New Roman" w:hAnsi="Times New Roman" w:cs="Times New Roman"/>
          <w:sz w:val="24"/>
          <w:szCs w:val="24"/>
        </w:rPr>
        <w:t xml:space="preserve">members </w:t>
      </w:r>
      <w:r w:rsidR="00843EFA" w:rsidRPr="00B91857">
        <w:rPr>
          <w:rFonts w:ascii="Times New Roman" w:hAnsi="Times New Roman" w:cs="Times New Roman"/>
          <w:sz w:val="24"/>
          <w:szCs w:val="24"/>
        </w:rPr>
        <w:t xml:space="preserve">attended a three-hour assessment workshop conducted by Dr. Michelle Saint-Germain (from CSULB) to begin work on assessment plans. </w:t>
      </w:r>
      <w:r w:rsidR="0008481A">
        <w:rPr>
          <w:rFonts w:ascii="Times New Roman" w:hAnsi="Times New Roman" w:cs="Times New Roman"/>
          <w:sz w:val="24"/>
          <w:szCs w:val="24"/>
        </w:rPr>
        <w:t>T</w:t>
      </w:r>
      <w:r w:rsidR="00843EFA">
        <w:rPr>
          <w:rFonts w:ascii="Times New Roman" w:hAnsi="Times New Roman" w:cs="Times New Roman"/>
          <w:sz w:val="24"/>
          <w:szCs w:val="24"/>
        </w:rPr>
        <w:t xml:space="preserve">hroughout the </w:t>
      </w:r>
      <w:r w:rsidR="0008481A">
        <w:rPr>
          <w:rFonts w:ascii="Times New Roman" w:hAnsi="Times New Roman" w:cs="Times New Roman"/>
          <w:sz w:val="24"/>
          <w:szCs w:val="24"/>
        </w:rPr>
        <w:t xml:space="preserve">2012-2013 academic </w:t>
      </w:r>
      <w:r w:rsidR="00843EFA">
        <w:rPr>
          <w:rFonts w:ascii="Times New Roman" w:hAnsi="Times New Roman" w:cs="Times New Roman"/>
          <w:sz w:val="24"/>
          <w:szCs w:val="24"/>
        </w:rPr>
        <w:t>year “H</w:t>
      </w:r>
      <w:r w:rsidR="00843EFA" w:rsidRPr="00B91857">
        <w:rPr>
          <w:rFonts w:ascii="Times New Roman" w:hAnsi="Times New Roman" w:cs="Times New Roman"/>
          <w:sz w:val="24"/>
          <w:szCs w:val="24"/>
        </w:rPr>
        <w:t>elp</w:t>
      </w:r>
      <w:r w:rsidR="00843EFA">
        <w:rPr>
          <w:rFonts w:ascii="Times New Roman" w:eastAsia="Times New Roman" w:hAnsi="Times New Roman" w:cs="Times New Roman"/>
          <w:sz w:val="24"/>
          <w:szCs w:val="24"/>
          <w:shd w:val="clear" w:color="auto" w:fill="FFFFFF"/>
        </w:rPr>
        <w:t xml:space="preserve"> from </w:t>
      </w:r>
      <w:r w:rsidR="00843EFA" w:rsidRPr="00B91857">
        <w:rPr>
          <w:rFonts w:ascii="Times New Roman" w:eastAsia="Times New Roman" w:hAnsi="Times New Roman" w:cs="Times New Roman"/>
          <w:sz w:val="24"/>
          <w:szCs w:val="24"/>
          <w:shd w:val="clear" w:color="auto" w:fill="FFFFFF"/>
        </w:rPr>
        <w:t>Hands-on Workshop</w:t>
      </w:r>
      <w:r w:rsidR="00843EFA">
        <w:rPr>
          <w:rFonts w:ascii="Times New Roman" w:eastAsia="Times New Roman" w:hAnsi="Times New Roman" w:cs="Times New Roman"/>
          <w:sz w:val="24"/>
          <w:szCs w:val="24"/>
          <w:shd w:val="clear" w:color="auto" w:fill="FFFFFF"/>
        </w:rPr>
        <w:t>s”</w:t>
      </w:r>
      <w:r w:rsidR="00843EFA" w:rsidRPr="00B91857">
        <w:rPr>
          <w:rFonts w:ascii="Times New Roman" w:eastAsia="Times New Roman" w:hAnsi="Times New Roman" w:cs="Times New Roman"/>
          <w:sz w:val="24"/>
          <w:szCs w:val="24"/>
          <w:shd w:val="clear" w:color="auto" w:fill="FFFFFF"/>
        </w:rPr>
        <w:t xml:space="preserve"> </w:t>
      </w:r>
      <w:r w:rsidR="00843EFA">
        <w:rPr>
          <w:rFonts w:ascii="Times New Roman" w:eastAsia="Times New Roman" w:hAnsi="Times New Roman" w:cs="Times New Roman"/>
          <w:sz w:val="24"/>
          <w:szCs w:val="24"/>
          <w:shd w:val="clear" w:color="auto" w:fill="FFFFFF"/>
        </w:rPr>
        <w:t xml:space="preserve">were held with the </w:t>
      </w:r>
      <w:r w:rsidR="0008481A">
        <w:rPr>
          <w:rFonts w:ascii="Times New Roman" w:eastAsia="Times New Roman" w:hAnsi="Times New Roman" w:cs="Times New Roman"/>
          <w:sz w:val="24"/>
          <w:szCs w:val="24"/>
          <w:shd w:val="clear" w:color="auto" w:fill="FFFFFF"/>
        </w:rPr>
        <w:t>Director of Assessment</w:t>
      </w:r>
      <w:r w:rsidR="00843EFA">
        <w:rPr>
          <w:rFonts w:ascii="Times New Roman" w:eastAsia="Times New Roman" w:hAnsi="Times New Roman" w:cs="Times New Roman"/>
          <w:sz w:val="24"/>
          <w:szCs w:val="24"/>
          <w:shd w:val="clear" w:color="auto" w:fill="FFFFFF"/>
        </w:rPr>
        <w:t xml:space="preserve"> (44</w:t>
      </w:r>
      <w:r w:rsidR="00843EFA" w:rsidRPr="00B91857">
        <w:rPr>
          <w:rFonts w:ascii="Times New Roman" w:eastAsia="Times New Roman" w:hAnsi="Times New Roman" w:cs="Times New Roman"/>
          <w:sz w:val="24"/>
          <w:szCs w:val="24"/>
          <w:shd w:val="clear" w:color="auto" w:fill="FFFFFF"/>
        </w:rPr>
        <w:t xml:space="preserve"> </w:t>
      </w:r>
      <w:r w:rsidR="0008481A">
        <w:rPr>
          <w:rFonts w:ascii="Times New Roman" w:eastAsia="Times New Roman" w:hAnsi="Times New Roman" w:cs="Times New Roman"/>
          <w:sz w:val="24"/>
          <w:szCs w:val="24"/>
          <w:shd w:val="clear" w:color="auto" w:fill="FFFFFF"/>
        </w:rPr>
        <w:t>faculty</w:t>
      </w:r>
      <w:r w:rsidR="00843EFA">
        <w:rPr>
          <w:rFonts w:ascii="Times New Roman" w:eastAsia="Times New Roman" w:hAnsi="Times New Roman" w:cs="Times New Roman"/>
          <w:sz w:val="24"/>
          <w:szCs w:val="24"/>
          <w:shd w:val="clear" w:color="auto" w:fill="FFFFFF"/>
        </w:rPr>
        <w:t xml:space="preserve"> attended at least one of these additional workshops).  </w:t>
      </w:r>
      <w:r w:rsidR="0008481A">
        <w:rPr>
          <w:rFonts w:ascii="Times New Roman" w:eastAsia="Times New Roman" w:hAnsi="Times New Roman" w:cs="Times New Roman"/>
          <w:sz w:val="24"/>
          <w:szCs w:val="24"/>
          <w:shd w:val="clear" w:color="auto" w:fill="FFFFFF"/>
        </w:rPr>
        <w:t>And a</w:t>
      </w:r>
      <w:r w:rsidR="00843EFA">
        <w:rPr>
          <w:rFonts w:ascii="Times New Roman" w:eastAsia="Times New Roman" w:hAnsi="Times New Roman" w:cs="Times New Roman"/>
          <w:sz w:val="24"/>
          <w:szCs w:val="24"/>
          <w:shd w:val="clear" w:color="auto" w:fill="FFFFFF"/>
        </w:rPr>
        <w:t xml:space="preserve"> very successful Discovery Café focused on </w:t>
      </w:r>
      <w:r w:rsidR="0008481A">
        <w:rPr>
          <w:rFonts w:ascii="Times New Roman" w:eastAsia="Times New Roman" w:hAnsi="Times New Roman" w:cs="Times New Roman"/>
          <w:sz w:val="24"/>
          <w:szCs w:val="24"/>
          <w:shd w:val="clear" w:color="auto" w:fill="FFFFFF"/>
        </w:rPr>
        <w:t>U</w:t>
      </w:r>
      <w:r w:rsidR="00843EFA">
        <w:rPr>
          <w:rFonts w:ascii="Times New Roman" w:eastAsia="Times New Roman" w:hAnsi="Times New Roman" w:cs="Times New Roman"/>
          <w:sz w:val="24"/>
          <w:szCs w:val="24"/>
          <w:shd w:val="clear" w:color="auto" w:fill="FFFFFF"/>
        </w:rPr>
        <w:t>niversity wide learning outcomes was held in September 2013</w:t>
      </w:r>
      <w:r w:rsidR="00843EFA" w:rsidRPr="00B91857">
        <w:rPr>
          <w:rFonts w:ascii="Times New Roman" w:eastAsia="Times New Roman" w:hAnsi="Times New Roman" w:cs="Times New Roman"/>
          <w:sz w:val="24"/>
          <w:szCs w:val="24"/>
          <w:shd w:val="clear" w:color="auto" w:fill="FFFFFF"/>
        </w:rPr>
        <w:t xml:space="preserve"> </w:t>
      </w:r>
      <w:r w:rsidR="00843EFA">
        <w:rPr>
          <w:rFonts w:ascii="Times New Roman" w:eastAsia="Times New Roman" w:hAnsi="Times New Roman" w:cs="Times New Roman"/>
          <w:sz w:val="24"/>
          <w:szCs w:val="24"/>
          <w:shd w:val="clear" w:color="auto" w:fill="FFFFFF"/>
        </w:rPr>
        <w:t>(</w:t>
      </w:r>
      <w:r w:rsidR="00843EFA" w:rsidRPr="00B91857">
        <w:rPr>
          <w:rFonts w:ascii="Times New Roman" w:eastAsia="Times New Roman" w:hAnsi="Times New Roman" w:cs="Times New Roman"/>
          <w:sz w:val="24"/>
          <w:szCs w:val="24"/>
          <w:shd w:val="clear" w:color="auto" w:fill="FFFFFF"/>
        </w:rPr>
        <w:t>65 attendees</w:t>
      </w:r>
      <w:r w:rsidR="00843EFA">
        <w:rPr>
          <w:rFonts w:ascii="Times New Roman" w:eastAsia="Times New Roman" w:hAnsi="Times New Roman" w:cs="Times New Roman"/>
          <w:sz w:val="24"/>
          <w:szCs w:val="24"/>
          <w:shd w:val="clear" w:color="auto" w:fill="FFFFFF"/>
        </w:rPr>
        <w:t xml:space="preserve">).  </w:t>
      </w:r>
      <w:r w:rsidR="00843EFA" w:rsidRPr="00B91857">
        <w:rPr>
          <w:rFonts w:ascii="Times New Roman" w:hAnsi="Times New Roman" w:cs="Times New Roman"/>
          <w:sz w:val="24"/>
          <w:szCs w:val="24"/>
        </w:rPr>
        <w:t xml:space="preserve">Eight follow-up mini workshops </w:t>
      </w:r>
      <w:r w:rsidR="00843EFA">
        <w:rPr>
          <w:rFonts w:ascii="Times New Roman" w:hAnsi="Times New Roman" w:cs="Times New Roman"/>
          <w:sz w:val="24"/>
          <w:szCs w:val="24"/>
        </w:rPr>
        <w:t xml:space="preserve">were </w:t>
      </w:r>
      <w:r w:rsidR="0008481A">
        <w:rPr>
          <w:rFonts w:ascii="Times New Roman" w:hAnsi="Times New Roman" w:cs="Times New Roman"/>
          <w:sz w:val="24"/>
          <w:szCs w:val="24"/>
        </w:rPr>
        <w:t xml:space="preserve">also </w:t>
      </w:r>
      <w:r w:rsidR="00843EFA">
        <w:rPr>
          <w:rFonts w:ascii="Times New Roman" w:hAnsi="Times New Roman" w:cs="Times New Roman"/>
          <w:sz w:val="24"/>
          <w:szCs w:val="24"/>
        </w:rPr>
        <w:t xml:space="preserve">held during </w:t>
      </w:r>
      <w:r w:rsidR="00DD2DF3">
        <w:rPr>
          <w:rFonts w:ascii="Times New Roman" w:hAnsi="Times New Roman" w:cs="Times New Roman"/>
          <w:sz w:val="24"/>
          <w:szCs w:val="24"/>
        </w:rPr>
        <w:t>Fall</w:t>
      </w:r>
      <w:r w:rsidR="00843EFA">
        <w:rPr>
          <w:rFonts w:ascii="Times New Roman" w:hAnsi="Times New Roman" w:cs="Times New Roman"/>
          <w:sz w:val="24"/>
          <w:szCs w:val="24"/>
        </w:rPr>
        <w:t xml:space="preserve"> 2013</w:t>
      </w:r>
      <w:r w:rsidR="0008481A">
        <w:rPr>
          <w:rFonts w:ascii="Times New Roman" w:hAnsi="Times New Roman" w:cs="Times New Roman"/>
          <w:sz w:val="24"/>
          <w:szCs w:val="24"/>
        </w:rPr>
        <w:t xml:space="preserve"> with 28 faculty attending</w:t>
      </w:r>
      <w:r w:rsidR="00843EFA">
        <w:rPr>
          <w:rFonts w:ascii="Times New Roman" w:hAnsi="Times New Roman" w:cs="Times New Roman"/>
          <w:sz w:val="24"/>
          <w:szCs w:val="24"/>
        </w:rPr>
        <w:t xml:space="preserve"> at least one workshop</w:t>
      </w:r>
      <w:r w:rsidR="00843EFA" w:rsidRPr="00B91857">
        <w:rPr>
          <w:rFonts w:ascii="Times New Roman" w:hAnsi="Times New Roman" w:cs="Times New Roman"/>
          <w:sz w:val="24"/>
          <w:szCs w:val="24"/>
        </w:rPr>
        <w:t xml:space="preserve">. </w:t>
      </w:r>
    </w:p>
    <w:p w14:paraId="669942D9" w14:textId="77777777" w:rsidR="008B3B1F" w:rsidRPr="00BB3B84" w:rsidRDefault="008B3B1F" w:rsidP="008B3B1F">
      <w:pPr>
        <w:pStyle w:val="ListParagraph"/>
        <w:spacing w:after="0" w:line="240" w:lineRule="auto"/>
        <w:ind w:left="0"/>
        <w:rPr>
          <w:rFonts w:ascii="Times New Roman" w:hAnsi="Times New Roman" w:cs="Times New Roman"/>
          <w:sz w:val="24"/>
          <w:szCs w:val="24"/>
        </w:rPr>
      </w:pPr>
    </w:p>
    <w:p w14:paraId="20A6749F" w14:textId="1FCC699B" w:rsidR="008B3B1F" w:rsidRPr="00BB3B84" w:rsidRDefault="00A948F5" w:rsidP="008B3B1F">
      <w:pPr>
        <w:spacing w:line="240" w:lineRule="auto"/>
        <w:rPr>
          <w:rFonts w:ascii="Times New Roman" w:hAnsi="Times New Roman" w:cs="Times New Roman"/>
          <w:b/>
          <w:sz w:val="24"/>
          <w:szCs w:val="24"/>
        </w:rPr>
      </w:pPr>
      <w:r>
        <w:rPr>
          <w:rFonts w:ascii="Times New Roman" w:hAnsi="Times New Roman" w:cs="Times New Roman"/>
          <w:sz w:val="24"/>
          <w:szCs w:val="24"/>
          <w:u w:val="single"/>
        </w:rPr>
        <w:t xml:space="preserve">6.1.1.2 </w:t>
      </w:r>
      <w:r w:rsidR="008B3B1F" w:rsidRPr="00BB3B84">
        <w:rPr>
          <w:rFonts w:ascii="Times New Roman" w:hAnsi="Times New Roman" w:cs="Times New Roman"/>
          <w:sz w:val="24"/>
          <w:szCs w:val="24"/>
          <w:u w:val="single"/>
        </w:rPr>
        <w:t>Assessing the Assessment System</w:t>
      </w:r>
      <w:r w:rsidR="008B3B1F" w:rsidRPr="00BB3B84">
        <w:rPr>
          <w:rFonts w:ascii="Times New Roman" w:hAnsi="Times New Roman" w:cs="Times New Roman"/>
          <w:b/>
          <w:sz w:val="24"/>
          <w:szCs w:val="24"/>
        </w:rPr>
        <w:t xml:space="preserve"> - </w:t>
      </w:r>
      <w:r w:rsidR="008B3B1F" w:rsidRPr="00BB3B84">
        <w:rPr>
          <w:rFonts w:ascii="Times New Roman" w:hAnsi="Times New Roman" w:cs="Times New Roman"/>
          <w:sz w:val="24"/>
          <w:szCs w:val="24"/>
        </w:rPr>
        <w:t xml:space="preserve">In March of 2013, CSUSM’s Director of Academic Assessment was selected to be a member of Cohort IV of the WASC Assessment Leadership </w:t>
      </w:r>
      <w:r w:rsidR="008B3B1F" w:rsidRPr="00BB3B84">
        <w:rPr>
          <w:rFonts w:ascii="Times New Roman" w:hAnsi="Times New Roman" w:cs="Times New Roman"/>
          <w:sz w:val="24"/>
          <w:szCs w:val="24"/>
        </w:rPr>
        <w:lastRenderedPageBreak/>
        <w:t xml:space="preserve">Academy (ALA). As her culminating project for the WASC ALA, the Director of Academic Assessment engaged in a comprehensive review of CSUSM’s existing assessment system, resulting in the preparation of a Campus Assessment Self-Study Report </w:t>
      </w:r>
      <w:r w:rsidR="008B3B1F" w:rsidRPr="00BB3B84">
        <w:rPr>
          <w:rFonts w:ascii="Times New Roman" w:hAnsi="Times New Roman" w:cs="Times New Roman"/>
          <w:sz w:val="24"/>
          <w:szCs w:val="24"/>
          <w:highlight w:val="yellow"/>
        </w:rPr>
        <w:t>(</w:t>
      </w:r>
      <w:r w:rsidR="0020201F">
        <w:rPr>
          <w:rFonts w:ascii="Times New Roman" w:hAnsi="Times New Roman" w:cs="Times New Roman"/>
          <w:sz w:val="24"/>
          <w:szCs w:val="24"/>
          <w:highlight w:val="yellow"/>
        </w:rPr>
        <w:t xml:space="preserve">possible </w:t>
      </w:r>
      <w:r w:rsidR="00125D5B">
        <w:rPr>
          <w:rFonts w:ascii="Times New Roman" w:hAnsi="Times New Roman" w:cs="Times New Roman"/>
          <w:sz w:val="24"/>
          <w:szCs w:val="24"/>
          <w:highlight w:val="yellow"/>
        </w:rPr>
        <w:t>Appendix 6.x</w:t>
      </w:r>
      <w:r w:rsidR="008B3B1F" w:rsidRPr="00BB3B84">
        <w:rPr>
          <w:rFonts w:ascii="Times New Roman" w:hAnsi="Times New Roman" w:cs="Times New Roman"/>
          <w:sz w:val="24"/>
          <w:szCs w:val="24"/>
          <w:highlight w:val="yellow"/>
        </w:rPr>
        <w:t xml:space="preserve"> </w:t>
      </w:r>
      <w:r w:rsidR="00125D5B">
        <w:rPr>
          <w:rFonts w:ascii="Times New Roman" w:hAnsi="Times New Roman" w:cs="Times New Roman"/>
          <w:sz w:val="24"/>
          <w:szCs w:val="24"/>
          <w:highlight w:val="yellow"/>
        </w:rPr>
        <w:t xml:space="preserve">6.x </w:t>
      </w:r>
      <w:r w:rsidR="008B3B1F" w:rsidRPr="00BB3B84">
        <w:rPr>
          <w:rFonts w:ascii="Times New Roman" w:hAnsi="Times New Roman" w:cs="Times New Roman"/>
          <w:sz w:val="24"/>
          <w:szCs w:val="24"/>
          <w:highlight w:val="yellow"/>
        </w:rPr>
        <w:t xml:space="preserve">– </w:t>
      </w:r>
      <w:r w:rsidR="0020201F">
        <w:rPr>
          <w:rFonts w:ascii="Times New Roman" w:hAnsi="Times New Roman" w:cs="Times New Roman"/>
          <w:sz w:val="24"/>
          <w:szCs w:val="24"/>
          <w:highlight w:val="yellow"/>
        </w:rPr>
        <w:t xml:space="preserve">Self-study </w:t>
      </w:r>
      <w:r w:rsidR="008B3B1F" w:rsidRPr="00BB3B84">
        <w:rPr>
          <w:rFonts w:ascii="Times New Roman" w:hAnsi="Times New Roman" w:cs="Times New Roman"/>
          <w:sz w:val="24"/>
          <w:szCs w:val="24"/>
          <w:highlight w:val="yellow"/>
        </w:rPr>
        <w:t>Report)</w:t>
      </w:r>
      <w:r w:rsidR="008B3B1F" w:rsidRPr="00BB3B84">
        <w:rPr>
          <w:rFonts w:ascii="Times New Roman" w:hAnsi="Times New Roman" w:cs="Times New Roman"/>
          <w:sz w:val="24"/>
          <w:szCs w:val="24"/>
        </w:rPr>
        <w:t xml:space="preserve"> in January of 2014. The report concluded that data were being generated by the campus but were not consistently used for evidence-based decision making, a finding that reflected considerations shared by the </w:t>
      </w:r>
      <w:hyperlink r:id="rId5" w:history="1">
        <w:r w:rsidR="008B3B1F" w:rsidRPr="00BB3B84">
          <w:rPr>
            <w:rStyle w:val="Hyperlink"/>
            <w:rFonts w:ascii="Times New Roman" w:hAnsi="Times New Roman" w:cs="Times New Roman"/>
            <w:sz w:val="24"/>
            <w:szCs w:val="24"/>
          </w:rPr>
          <w:t>WASC Interim Report Committee</w:t>
        </w:r>
      </w:hyperlink>
      <w:r w:rsidR="008B3B1F" w:rsidRPr="00BB3B84">
        <w:rPr>
          <w:rFonts w:ascii="Times New Roman" w:hAnsi="Times New Roman" w:cs="Times New Roman"/>
          <w:sz w:val="24"/>
          <w:szCs w:val="24"/>
        </w:rPr>
        <w:t xml:space="preserve">. The </w:t>
      </w:r>
      <w:r w:rsidR="00843EFA">
        <w:rPr>
          <w:rFonts w:ascii="Times New Roman" w:hAnsi="Times New Roman" w:cs="Times New Roman"/>
          <w:sz w:val="24"/>
          <w:szCs w:val="24"/>
        </w:rPr>
        <w:t xml:space="preserve">Director’s </w:t>
      </w:r>
      <w:r w:rsidR="008B3B1F" w:rsidRPr="00BB3B84">
        <w:rPr>
          <w:rFonts w:ascii="Times New Roman" w:hAnsi="Times New Roman" w:cs="Times New Roman"/>
          <w:sz w:val="24"/>
          <w:szCs w:val="24"/>
        </w:rPr>
        <w:t>report also offered recommendations for improvement, including the establishment of a committee with university-wide representation to oversee assessment efforts, the identification of assessment leads within programs, increased investment in assessment training for Faculty, and better channels of communication with key decision makers across the campus.</w:t>
      </w:r>
    </w:p>
    <w:p w14:paraId="78D37123" w14:textId="1BCF9673" w:rsidR="008B3B1F" w:rsidRPr="00BB3B84" w:rsidRDefault="008B3B1F" w:rsidP="008B3B1F">
      <w:pPr>
        <w:spacing w:line="240" w:lineRule="auto"/>
        <w:rPr>
          <w:rFonts w:ascii="Times New Roman" w:hAnsi="Times New Roman" w:cs="Times New Roman"/>
          <w:sz w:val="24"/>
          <w:szCs w:val="24"/>
        </w:rPr>
      </w:pPr>
      <w:r w:rsidRPr="00BB3B84">
        <w:rPr>
          <w:rFonts w:ascii="Times New Roman" w:hAnsi="Times New Roman" w:cs="Times New Roman"/>
          <w:sz w:val="24"/>
          <w:szCs w:val="24"/>
        </w:rPr>
        <w:t xml:space="preserve">The Director of Assessment left the position in January 2013, and recognizing the necessity to have an administrator oversee this role, CSUSM’s </w:t>
      </w:r>
      <w:r w:rsidR="005F1BAF">
        <w:rPr>
          <w:rFonts w:ascii="Times New Roman" w:hAnsi="Times New Roman" w:cs="Times New Roman"/>
          <w:sz w:val="24"/>
          <w:szCs w:val="24"/>
        </w:rPr>
        <w:t>Dean</w:t>
      </w:r>
      <w:r w:rsidRPr="00BB3B84">
        <w:rPr>
          <w:rFonts w:ascii="Times New Roman" w:hAnsi="Times New Roman" w:cs="Times New Roman"/>
          <w:sz w:val="24"/>
          <w:szCs w:val="24"/>
        </w:rPr>
        <w:t xml:space="preserve"> </w:t>
      </w:r>
      <w:r w:rsidR="005F1BAF">
        <w:rPr>
          <w:rFonts w:ascii="Times New Roman" w:hAnsi="Times New Roman" w:cs="Times New Roman"/>
          <w:sz w:val="24"/>
          <w:szCs w:val="24"/>
        </w:rPr>
        <w:t>of</w:t>
      </w:r>
      <w:r w:rsidR="005F1BAF" w:rsidRPr="00BB3B84">
        <w:rPr>
          <w:rFonts w:ascii="Times New Roman" w:hAnsi="Times New Roman" w:cs="Times New Roman"/>
          <w:sz w:val="24"/>
          <w:szCs w:val="24"/>
        </w:rPr>
        <w:t xml:space="preserve"> </w:t>
      </w:r>
      <w:r w:rsidRPr="00BB3B84">
        <w:rPr>
          <w:rFonts w:ascii="Times New Roman" w:hAnsi="Times New Roman" w:cs="Times New Roman"/>
          <w:sz w:val="24"/>
          <w:szCs w:val="24"/>
        </w:rPr>
        <w:t xml:space="preserve">Academic Programs became the WASC Accreditation Liaison Officer and assumed oversight of campus assessment efforts. </w:t>
      </w:r>
      <w:r w:rsidR="005F1BAF">
        <w:rPr>
          <w:rFonts w:ascii="Times New Roman" w:hAnsi="Times New Roman" w:cs="Times New Roman"/>
          <w:sz w:val="24"/>
          <w:szCs w:val="24"/>
        </w:rPr>
        <w:t>Following up with recommendations from the WASC Interim Report and the Director of Assessment, i</w:t>
      </w:r>
      <w:r w:rsidRPr="00BB3B84">
        <w:rPr>
          <w:rFonts w:ascii="Times New Roman" w:hAnsi="Times New Roman" w:cs="Times New Roman"/>
          <w:sz w:val="24"/>
          <w:szCs w:val="24"/>
        </w:rPr>
        <w:t xml:space="preserve">n May of 2014, a University Assessment Council (UAC), comprised of the </w:t>
      </w:r>
      <w:r w:rsidR="005F1BAF">
        <w:rPr>
          <w:rFonts w:ascii="Times New Roman" w:hAnsi="Times New Roman" w:cs="Times New Roman"/>
          <w:sz w:val="24"/>
          <w:szCs w:val="24"/>
        </w:rPr>
        <w:t>Dean for</w:t>
      </w:r>
      <w:r w:rsidRPr="00BB3B84">
        <w:rPr>
          <w:rFonts w:ascii="Times New Roman" w:hAnsi="Times New Roman" w:cs="Times New Roman"/>
          <w:sz w:val="24"/>
          <w:szCs w:val="24"/>
        </w:rPr>
        <w:t xml:space="preserve"> Academic Programs, Associate Deans and appointed Faculty from each College, and other key contributors, was convened with the goal of distributing oversight of and accountability for assessment of student learning. The council’s charge, delivered by the Provost, is to: a) lead and coordinate campus assessment efforts; b) disseminate best practices; c) develop a central repository for assessment resources, information, and materials; d) review assessment plans and reports, and share results with the campus community; and e) investigate assessment software that may be appropriate for CSUSM’s assessment needs (</w:t>
      </w:r>
      <w:r w:rsidR="0020201F" w:rsidRPr="0020201F">
        <w:rPr>
          <w:rFonts w:ascii="Times New Roman" w:hAnsi="Times New Roman" w:cs="Times New Roman"/>
          <w:sz w:val="24"/>
          <w:szCs w:val="24"/>
          <w:highlight w:val="yellow"/>
        </w:rPr>
        <w:t>possible</w:t>
      </w:r>
      <w:r w:rsidR="0020201F">
        <w:rPr>
          <w:rFonts w:ascii="Times New Roman" w:hAnsi="Times New Roman" w:cs="Times New Roman"/>
          <w:sz w:val="24"/>
          <w:szCs w:val="24"/>
        </w:rPr>
        <w:t xml:space="preserve"> </w:t>
      </w:r>
      <w:r w:rsidR="00125D5B">
        <w:rPr>
          <w:rFonts w:ascii="Times New Roman" w:hAnsi="Times New Roman" w:cs="Times New Roman"/>
          <w:sz w:val="24"/>
          <w:szCs w:val="24"/>
          <w:highlight w:val="yellow"/>
        </w:rPr>
        <w:t>Appendix 6.x</w:t>
      </w:r>
      <w:r w:rsidRPr="00BB3B84">
        <w:rPr>
          <w:rFonts w:ascii="Times New Roman" w:hAnsi="Times New Roman" w:cs="Times New Roman"/>
          <w:sz w:val="24"/>
          <w:szCs w:val="24"/>
          <w:highlight w:val="yellow"/>
        </w:rPr>
        <w:t xml:space="preserve"> – Minutes from UAC Meeting on 5/2</w:t>
      </w:r>
      <w:r w:rsidRPr="00BB3B84">
        <w:rPr>
          <w:rFonts w:ascii="Times New Roman" w:hAnsi="Times New Roman" w:cs="Times New Roman"/>
          <w:sz w:val="24"/>
          <w:szCs w:val="24"/>
        </w:rPr>
        <w:t xml:space="preserve">). Subcommittees, each with specific goals, were formed at the first </w:t>
      </w:r>
      <w:r w:rsidR="00DD2DF3">
        <w:rPr>
          <w:rFonts w:ascii="Times New Roman" w:hAnsi="Times New Roman" w:cs="Times New Roman"/>
          <w:sz w:val="24"/>
          <w:szCs w:val="24"/>
        </w:rPr>
        <w:t>Fall</w:t>
      </w:r>
      <w:r w:rsidRPr="00BB3B84">
        <w:rPr>
          <w:rFonts w:ascii="Times New Roman" w:hAnsi="Times New Roman" w:cs="Times New Roman"/>
          <w:sz w:val="24"/>
          <w:szCs w:val="24"/>
        </w:rPr>
        <w:t xml:space="preserve"> 2014 meeting of the UAC (</w:t>
      </w:r>
      <w:r w:rsidR="0020201F">
        <w:rPr>
          <w:rFonts w:ascii="Times New Roman" w:hAnsi="Times New Roman" w:cs="Times New Roman"/>
          <w:sz w:val="24"/>
          <w:szCs w:val="24"/>
          <w:highlight w:val="yellow"/>
        </w:rPr>
        <w:t xml:space="preserve">possible </w:t>
      </w:r>
      <w:r w:rsidR="00125D5B">
        <w:rPr>
          <w:rFonts w:ascii="Times New Roman" w:hAnsi="Times New Roman" w:cs="Times New Roman"/>
          <w:sz w:val="24"/>
          <w:szCs w:val="24"/>
          <w:highlight w:val="yellow"/>
        </w:rPr>
        <w:t>Appendix 6.x</w:t>
      </w:r>
      <w:r w:rsidRPr="00BB3B84">
        <w:rPr>
          <w:rFonts w:ascii="Times New Roman" w:hAnsi="Times New Roman" w:cs="Times New Roman"/>
          <w:sz w:val="24"/>
          <w:szCs w:val="24"/>
          <w:highlight w:val="yellow"/>
        </w:rPr>
        <w:t xml:space="preserve"> – Minutes from UAC Meeting on 9/15</w:t>
      </w:r>
      <w:r w:rsidRPr="00BB3B84">
        <w:rPr>
          <w:rFonts w:ascii="Times New Roman" w:hAnsi="Times New Roman" w:cs="Times New Roman"/>
          <w:sz w:val="24"/>
          <w:szCs w:val="24"/>
        </w:rPr>
        <w:t xml:space="preserve">). </w:t>
      </w:r>
    </w:p>
    <w:p w14:paraId="62A83297" w14:textId="5BC97A2F" w:rsidR="008B3B1F" w:rsidRPr="00BB3B84" w:rsidRDefault="008B3B1F" w:rsidP="008B3B1F">
      <w:pPr>
        <w:spacing w:line="240" w:lineRule="auto"/>
        <w:rPr>
          <w:rFonts w:ascii="Times New Roman" w:hAnsi="Times New Roman" w:cs="Times New Roman"/>
          <w:sz w:val="24"/>
          <w:szCs w:val="24"/>
        </w:rPr>
      </w:pPr>
      <w:r w:rsidRPr="00BB3B84">
        <w:rPr>
          <w:rFonts w:ascii="Times New Roman" w:hAnsi="Times New Roman" w:cs="Times New Roman"/>
          <w:sz w:val="24"/>
          <w:szCs w:val="24"/>
        </w:rPr>
        <w:t>In June of 20</w:t>
      </w:r>
      <w:r w:rsidR="00272753">
        <w:rPr>
          <w:rFonts w:ascii="Times New Roman" w:hAnsi="Times New Roman" w:cs="Times New Roman"/>
          <w:sz w:val="24"/>
          <w:szCs w:val="24"/>
        </w:rPr>
        <w:t xml:space="preserve">14, CSUSM began a search for a University </w:t>
      </w:r>
      <w:r w:rsidRPr="00BB3B84">
        <w:rPr>
          <w:rFonts w:ascii="Times New Roman" w:hAnsi="Times New Roman" w:cs="Times New Roman"/>
          <w:sz w:val="24"/>
          <w:szCs w:val="24"/>
        </w:rPr>
        <w:t xml:space="preserve">Assessment Specialist, a new role to reside in Academic Programs. The job description was shaped after a similar position in the College of Education, Health &amp; Human Services (CEHHS), which was filled in November 2013 to address assessment needs related to the College’s multiple discipline-specific accreditations. The search for the </w:t>
      </w:r>
      <w:r w:rsidR="00272753">
        <w:rPr>
          <w:rFonts w:ascii="Times New Roman" w:hAnsi="Times New Roman" w:cs="Times New Roman"/>
          <w:sz w:val="24"/>
          <w:szCs w:val="24"/>
        </w:rPr>
        <w:t xml:space="preserve">University </w:t>
      </w:r>
      <w:r w:rsidRPr="00BB3B84">
        <w:rPr>
          <w:rFonts w:ascii="Times New Roman" w:hAnsi="Times New Roman" w:cs="Times New Roman"/>
          <w:sz w:val="24"/>
          <w:szCs w:val="24"/>
        </w:rPr>
        <w:t xml:space="preserve">Assessment Specialist culminated in the successful hire of an experienced assessment professional in August of 2014. The University Assessment Specialist serves as an expert in assessment, an educator in assessment practice, and a resource for Faculty, staff, and administrators engaged in assessment activities across the University. This </w:t>
      </w:r>
      <w:r w:rsidR="005F1BAF" w:rsidRPr="00BB3B84">
        <w:rPr>
          <w:rFonts w:ascii="Times New Roman" w:hAnsi="Times New Roman" w:cs="Times New Roman"/>
          <w:sz w:val="24"/>
          <w:szCs w:val="24"/>
        </w:rPr>
        <w:t>mark</w:t>
      </w:r>
      <w:r w:rsidR="005F1BAF">
        <w:rPr>
          <w:rFonts w:ascii="Times New Roman" w:hAnsi="Times New Roman" w:cs="Times New Roman"/>
          <w:sz w:val="24"/>
          <w:szCs w:val="24"/>
        </w:rPr>
        <w:t>ed</w:t>
      </w:r>
      <w:r w:rsidR="005F1BAF" w:rsidRPr="00BB3B84">
        <w:rPr>
          <w:rFonts w:ascii="Times New Roman" w:hAnsi="Times New Roman" w:cs="Times New Roman"/>
          <w:sz w:val="24"/>
          <w:szCs w:val="24"/>
        </w:rPr>
        <w:t xml:space="preserve"> </w:t>
      </w:r>
      <w:r w:rsidRPr="00BB3B84">
        <w:rPr>
          <w:rFonts w:ascii="Times New Roman" w:hAnsi="Times New Roman" w:cs="Times New Roman"/>
          <w:sz w:val="24"/>
          <w:szCs w:val="24"/>
        </w:rPr>
        <w:t xml:space="preserve">a significant departure from CSUSM’s previous model, in which one Faculty member was released from coursework in return for both overseeing and supporting the campus’s varied assessment initiatives. In the new model, the UAC will provide the needed oversight and the </w:t>
      </w:r>
      <w:r w:rsidR="00581717">
        <w:rPr>
          <w:rFonts w:ascii="Times New Roman" w:hAnsi="Times New Roman" w:cs="Times New Roman"/>
          <w:sz w:val="24"/>
          <w:szCs w:val="24"/>
        </w:rPr>
        <w:t xml:space="preserve">University </w:t>
      </w:r>
      <w:r w:rsidRPr="00BB3B84">
        <w:rPr>
          <w:rFonts w:ascii="Times New Roman" w:hAnsi="Times New Roman" w:cs="Times New Roman"/>
          <w:sz w:val="24"/>
          <w:szCs w:val="24"/>
        </w:rPr>
        <w:t xml:space="preserve">Assessment Specialist will provide expertise and support. </w:t>
      </w:r>
    </w:p>
    <w:p w14:paraId="69A9B3D4" w14:textId="6830E806" w:rsidR="008B3B1F" w:rsidRPr="00BB3B84" w:rsidRDefault="008B3B1F" w:rsidP="008B3B1F">
      <w:pPr>
        <w:spacing w:line="240" w:lineRule="auto"/>
        <w:rPr>
          <w:rFonts w:ascii="Times New Roman" w:hAnsi="Times New Roman" w:cs="Times New Roman"/>
          <w:sz w:val="24"/>
          <w:szCs w:val="24"/>
        </w:rPr>
      </w:pPr>
      <w:r w:rsidRPr="00BB3B84">
        <w:rPr>
          <w:rFonts w:ascii="Times New Roman" w:hAnsi="Times New Roman" w:cs="Times New Roman"/>
          <w:sz w:val="24"/>
          <w:szCs w:val="24"/>
        </w:rPr>
        <w:t xml:space="preserve">Funding for assessment also increased with the 2014-15 academic year. CSUSM continues to offer funds annually to degree programs engaged in PSLO assessment, and is now also providing three units of release time, per semester, to the six Faculty members serving on the UAC. Furthermore, the University continues to offer stipends and cover the cost of training for Faculty serving on the Core Competency Team, which is responsible for assessment of </w:t>
      </w:r>
      <w:r w:rsidR="00721CF0">
        <w:rPr>
          <w:rFonts w:ascii="Times New Roman" w:hAnsi="Times New Roman" w:cs="Times New Roman"/>
          <w:sz w:val="24"/>
          <w:szCs w:val="24"/>
        </w:rPr>
        <w:t>CSUSM seniors’</w:t>
      </w:r>
      <w:r w:rsidR="00721CF0" w:rsidRPr="00BB3B84">
        <w:rPr>
          <w:rFonts w:ascii="Times New Roman" w:hAnsi="Times New Roman" w:cs="Times New Roman"/>
          <w:sz w:val="24"/>
          <w:szCs w:val="24"/>
        </w:rPr>
        <w:t xml:space="preserve"> </w:t>
      </w:r>
      <w:r w:rsidRPr="00BB3B84">
        <w:rPr>
          <w:rFonts w:ascii="Times New Roman" w:hAnsi="Times New Roman" w:cs="Times New Roman"/>
          <w:sz w:val="24"/>
          <w:szCs w:val="24"/>
        </w:rPr>
        <w:t xml:space="preserve">written and oral communication, quantitative reasoning, critical thinking, and information literacy. Additional funds have been approved to be used for assessment training, including travel to and attendance at assessment conferences, and Academic Programs will continue its </w:t>
      </w:r>
      <w:r w:rsidRPr="00BB3B84">
        <w:rPr>
          <w:rFonts w:ascii="Times New Roman" w:hAnsi="Times New Roman" w:cs="Times New Roman"/>
          <w:sz w:val="24"/>
          <w:szCs w:val="24"/>
        </w:rPr>
        <w:lastRenderedPageBreak/>
        <w:t>practice of partnering with the Faculty Center to deliver on-campus assessment workshops to assist Faculty with annual assessment activities and enhance assessment literacy (</w:t>
      </w:r>
      <w:r w:rsidR="00BA7BD3" w:rsidRPr="00BA7BD3">
        <w:rPr>
          <w:rFonts w:ascii="Times New Roman" w:hAnsi="Times New Roman" w:cs="Times New Roman"/>
          <w:sz w:val="24"/>
          <w:szCs w:val="24"/>
          <w:highlight w:val="yellow"/>
        </w:rPr>
        <w:t>possible</w:t>
      </w:r>
      <w:r w:rsidR="00BA7BD3">
        <w:rPr>
          <w:rFonts w:ascii="Times New Roman" w:hAnsi="Times New Roman" w:cs="Times New Roman"/>
          <w:sz w:val="24"/>
          <w:szCs w:val="24"/>
        </w:rPr>
        <w:t xml:space="preserve"> </w:t>
      </w:r>
      <w:r w:rsidR="00125D5B">
        <w:rPr>
          <w:rFonts w:ascii="Times New Roman" w:hAnsi="Times New Roman" w:cs="Times New Roman"/>
          <w:sz w:val="24"/>
          <w:szCs w:val="24"/>
          <w:highlight w:val="yellow"/>
        </w:rPr>
        <w:t>Appendix 6.x</w:t>
      </w:r>
      <w:r w:rsidRPr="00BB3B84">
        <w:rPr>
          <w:rFonts w:ascii="Times New Roman" w:hAnsi="Times New Roman" w:cs="Times New Roman"/>
          <w:sz w:val="24"/>
          <w:szCs w:val="24"/>
          <w:highlight w:val="yellow"/>
        </w:rPr>
        <w:t xml:space="preserve"> – Workshop Description and/or Schedule</w:t>
      </w:r>
      <w:r w:rsidRPr="00BB3B84">
        <w:rPr>
          <w:rFonts w:ascii="Times New Roman" w:hAnsi="Times New Roman" w:cs="Times New Roman"/>
          <w:sz w:val="24"/>
          <w:szCs w:val="24"/>
        </w:rPr>
        <w:t xml:space="preserve">). </w:t>
      </w:r>
    </w:p>
    <w:p w14:paraId="2E64B837" w14:textId="7FFC2237" w:rsidR="008B3B1F" w:rsidRPr="00BB3B84" w:rsidRDefault="00A948F5" w:rsidP="008B3B1F">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6.1.1.3 </w:t>
      </w:r>
      <w:r w:rsidR="008B3B1F" w:rsidRPr="00886D43">
        <w:rPr>
          <w:rFonts w:ascii="Times New Roman" w:hAnsi="Times New Roman" w:cs="Times New Roman"/>
          <w:sz w:val="24"/>
          <w:szCs w:val="24"/>
          <w:u w:val="single"/>
        </w:rPr>
        <w:t xml:space="preserve">Current State of </w:t>
      </w:r>
      <w:r w:rsidR="00886D43" w:rsidRPr="00886D43">
        <w:rPr>
          <w:rFonts w:ascii="Times New Roman" w:hAnsi="Times New Roman" w:cs="Times New Roman"/>
          <w:sz w:val="24"/>
          <w:szCs w:val="24"/>
          <w:u w:val="single"/>
        </w:rPr>
        <w:t xml:space="preserve">Annual </w:t>
      </w:r>
      <w:r w:rsidR="008B3B1F" w:rsidRPr="00886D43">
        <w:rPr>
          <w:rFonts w:ascii="Times New Roman" w:hAnsi="Times New Roman" w:cs="Times New Roman"/>
          <w:sz w:val="24"/>
          <w:szCs w:val="24"/>
          <w:u w:val="single"/>
        </w:rPr>
        <w:t xml:space="preserve">Assessment </w:t>
      </w:r>
      <w:r w:rsidR="00886D43">
        <w:rPr>
          <w:rFonts w:ascii="Times New Roman" w:hAnsi="Times New Roman" w:cs="Times New Roman"/>
          <w:sz w:val="24"/>
          <w:szCs w:val="24"/>
          <w:u w:val="single"/>
        </w:rPr>
        <w:t xml:space="preserve">- </w:t>
      </w:r>
      <w:r w:rsidR="008B3B1F" w:rsidRPr="00BB3B84">
        <w:rPr>
          <w:rFonts w:ascii="Times New Roman" w:hAnsi="Times New Roman" w:cs="Times New Roman"/>
          <w:sz w:val="24"/>
          <w:szCs w:val="24"/>
        </w:rPr>
        <w:t>CSUSM has made considerable p</w:t>
      </w:r>
      <w:r w:rsidR="00843EFA">
        <w:rPr>
          <w:rFonts w:ascii="Times New Roman" w:hAnsi="Times New Roman" w:cs="Times New Roman"/>
          <w:sz w:val="24"/>
          <w:szCs w:val="24"/>
        </w:rPr>
        <w:t xml:space="preserve">rogress in developing, evaluating, and revising its </w:t>
      </w:r>
      <w:r w:rsidR="008B3B1F" w:rsidRPr="00BB3B84">
        <w:rPr>
          <w:rFonts w:ascii="Times New Roman" w:hAnsi="Times New Roman" w:cs="Times New Roman"/>
          <w:sz w:val="24"/>
          <w:szCs w:val="24"/>
        </w:rPr>
        <w:t xml:space="preserve">assessment system in an effort to make the process of assessing student learning both manageable and meaningful. </w:t>
      </w:r>
      <w:r w:rsidR="00BA7BD3">
        <w:rPr>
          <w:rFonts w:ascii="Times New Roman" w:hAnsi="Times New Roman" w:cs="Times New Roman"/>
          <w:sz w:val="24"/>
          <w:szCs w:val="24"/>
        </w:rPr>
        <w:t xml:space="preserve"> These efforts have dramatically improved </w:t>
      </w:r>
      <w:r w:rsidR="00BA7BD3" w:rsidRPr="00B91857">
        <w:rPr>
          <w:rFonts w:ascii="Times New Roman" w:hAnsi="Times New Roman" w:cs="Times New Roman"/>
          <w:sz w:val="24"/>
          <w:szCs w:val="24"/>
        </w:rPr>
        <w:t>par</w:t>
      </w:r>
      <w:r w:rsidR="00BA7BD3">
        <w:rPr>
          <w:rFonts w:ascii="Times New Roman" w:hAnsi="Times New Roman" w:cs="Times New Roman"/>
          <w:sz w:val="24"/>
          <w:szCs w:val="24"/>
        </w:rPr>
        <w:t xml:space="preserve">ticipation in annual assessment, increasing from </w:t>
      </w:r>
      <w:r w:rsidR="00BA7BD3" w:rsidRPr="00B91857">
        <w:rPr>
          <w:rFonts w:ascii="Times New Roman" w:hAnsi="Times New Roman" w:cs="Times New Roman"/>
          <w:sz w:val="24"/>
          <w:szCs w:val="24"/>
        </w:rPr>
        <w:t xml:space="preserve">66% </w:t>
      </w:r>
      <w:r w:rsidR="00BA7BD3">
        <w:rPr>
          <w:rFonts w:ascii="Times New Roman" w:hAnsi="Times New Roman" w:cs="Times New Roman"/>
          <w:sz w:val="24"/>
          <w:szCs w:val="24"/>
        </w:rPr>
        <w:t xml:space="preserve">participating in AY 2009-2010 to </w:t>
      </w:r>
      <w:r w:rsidR="00BA7BD3" w:rsidRPr="00B91857">
        <w:rPr>
          <w:rFonts w:ascii="Times New Roman" w:hAnsi="Times New Roman" w:cs="Times New Roman"/>
          <w:sz w:val="24"/>
          <w:szCs w:val="24"/>
        </w:rPr>
        <w:t>8</w:t>
      </w:r>
      <w:r w:rsidR="00BA7BD3">
        <w:rPr>
          <w:rFonts w:ascii="Times New Roman" w:hAnsi="Times New Roman" w:cs="Times New Roman"/>
          <w:sz w:val="24"/>
          <w:szCs w:val="24"/>
        </w:rPr>
        <w:t>8</w:t>
      </w:r>
      <w:r w:rsidR="00BA7BD3" w:rsidRPr="00B91857">
        <w:rPr>
          <w:rFonts w:ascii="Times New Roman" w:hAnsi="Times New Roman" w:cs="Times New Roman"/>
          <w:sz w:val="24"/>
          <w:szCs w:val="24"/>
        </w:rPr>
        <w:t xml:space="preserve">% </w:t>
      </w:r>
      <w:r w:rsidR="00BA7BD3">
        <w:rPr>
          <w:rFonts w:ascii="Times New Roman" w:hAnsi="Times New Roman" w:cs="Times New Roman"/>
          <w:sz w:val="24"/>
          <w:szCs w:val="24"/>
        </w:rPr>
        <w:t>participation</w:t>
      </w:r>
      <w:r w:rsidR="00BA7BD3" w:rsidRPr="00B91857">
        <w:rPr>
          <w:rFonts w:ascii="Times New Roman" w:hAnsi="Times New Roman" w:cs="Times New Roman"/>
          <w:sz w:val="24"/>
          <w:szCs w:val="24"/>
        </w:rPr>
        <w:t xml:space="preserve"> in </w:t>
      </w:r>
      <w:r w:rsidR="00BA7BD3">
        <w:rPr>
          <w:rFonts w:ascii="Times New Roman" w:hAnsi="Times New Roman" w:cs="Times New Roman"/>
          <w:sz w:val="24"/>
          <w:szCs w:val="24"/>
        </w:rPr>
        <w:t xml:space="preserve">AY </w:t>
      </w:r>
      <w:r w:rsidR="00BA7BD3" w:rsidRPr="00B91857">
        <w:rPr>
          <w:rFonts w:ascii="Times New Roman" w:hAnsi="Times New Roman" w:cs="Times New Roman"/>
          <w:sz w:val="24"/>
          <w:szCs w:val="24"/>
        </w:rPr>
        <w:t>201</w:t>
      </w:r>
      <w:r w:rsidR="00BA7BD3">
        <w:rPr>
          <w:rFonts w:ascii="Times New Roman" w:hAnsi="Times New Roman" w:cs="Times New Roman"/>
          <w:sz w:val="24"/>
          <w:szCs w:val="24"/>
        </w:rPr>
        <w:t>4</w:t>
      </w:r>
      <w:r w:rsidR="00BA7BD3" w:rsidRPr="00B91857">
        <w:rPr>
          <w:rFonts w:ascii="Times New Roman" w:hAnsi="Times New Roman" w:cs="Times New Roman"/>
          <w:sz w:val="24"/>
          <w:szCs w:val="24"/>
        </w:rPr>
        <w:t>-1</w:t>
      </w:r>
      <w:r w:rsidR="00BA7BD3">
        <w:rPr>
          <w:rFonts w:ascii="Times New Roman" w:hAnsi="Times New Roman" w:cs="Times New Roman"/>
          <w:sz w:val="24"/>
          <w:szCs w:val="24"/>
        </w:rPr>
        <w:t>5</w:t>
      </w:r>
      <w:r w:rsidR="00BA7BD3" w:rsidRPr="00B91857">
        <w:rPr>
          <w:rFonts w:ascii="Times New Roman" w:hAnsi="Times New Roman" w:cs="Times New Roman"/>
          <w:sz w:val="24"/>
          <w:szCs w:val="24"/>
        </w:rPr>
        <w:t>.</w:t>
      </w:r>
      <w:r w:rsidR="00BA7BD3">
        <w:rPr>
          <w:rFonts w:ascii="Times New Roman" w:hAnsi="Times New Roman" w:cs="Times New Roman"/>
          <w:sz w:val="24"/>
          <w:szCs w:val="24"/>
        </w:rPr>
        <w:t xml:space="preserve"> </w:t>
      </w:r>
      <w:r w:rsidR="008B3B1F" w:rsidRPr="00BB3B84">
        <w:rPr>
          <w:rFonts w:ascii="Times New Roman" w:hAnsi="Times New Roman" w:cs="Times New Roman"/>
          <w:sz w:val="24"/>
          <w:szCs w:val="24"/>
        </w:rPr>
        <w:t xml:space="preserve">In 2013-14, we returned to a regular cycle of PSLO assessment planning and reporting. The UAC </w:t>
      </w:r>
      <w:r w:rsidR="00721CF0" w:rsidRPr="00BB3B84">
        <w:rPr>
          <w:rFonts w:ascii="Times New Roman" w:hAnsi="Times New Roman" w:cs="Times New Roman"/>
          <w:sz w:val="24"/>
          <w:szCs w:val="24"/>
        </w:rPr>
        <w:t>review</w:t>
      </w:r>
      <w:r w:rsidR="00721CF0">
        <w:rPr>
          <w:rFonts w:ascii="Times New Roman" w:hAnsi="Times New Roman" w:cs="Times New Roman"/>
          <w:sz w:val="24"/>
          <w:szCs w:val="24"/>
        </w:rPr>
        <w:t>ed</w:t>
      </w:r>
      <w:r w:rsidR="00721CF0" w:rsidRPr="00BB3B84">
        <w:rPr>
          <w:rFonts w:ascii="Times New Roman" w:hAnsi="Times New Roman" w:cs="Times New Roman"/>
          <w:sz w:val="24"/>
          <w:szCs w:val="24"/>
        </w:rPr>
        <w:t xml:space="preserve"> </w:t>
      </w:r>
      <w:r w:rsidR="008B3B1F" w:rsidRPr="00BB3B84">
        <w:rPr>
          <w:rFonts w:ascii="Times New Roman" w:hAnsi="Times New Roman" w:cs="Times New Roman"/>
          <w:sz w:val="24"/>
          <w:szCs w:val="24"/>
        </w:rPr>
        <w:t>the reports submitted by programs in May of 2014, and the results are promising. Selected highlights follow</w:t>
      </w:r>
      <w:r w:rsidR="00BA7BD3">
        <w:rPr>
          <w:rFonts w:ascii="Times New Roman" w:hAnsi="Times New Roman" w:cs="Times New Roman"/>
          <w:sz w:val="24"/>
          <w:szCs w:val="24"/>
        </w:rPr>
        <w:t xml:space="preserve"> (</w:t>
      </w:r>
      <w:r w:rsidR="00BA7BD3" w:rsidRPr="00BA7BD3">
        <w:rPr>
          <w:rFonts w:ascii="Times New Roman" w:hAnsi="Times New Roman" w:cs="Times New Roman"/>
          <w:sz w:val="24"/>
          <w:szCs w:val="24"/>
          <w:highlight w:val="cyan"/>
        </w:rPr>
        <w:t xml:space="preserve">these examples could be placed in an </w:t>
      </w:r>
      <w:r w:rsidR="00125D5B">
        <w:rPr>
          <w:rFonts w:ascii="Times New Roman" w:hAnsi="Times New Roman" w:cs="Times New Roman"/>
          <w:sz w:val="24"/>
          <w:szCs w:val="24"/>
          <w:highlight w:val="cyan"/>
        </w:rPr>
        <w:t>Appendix 6.x</w:t>
      </w:r>
      <w:r w:rsidR="00BA7BD3" w:rsidRPr="00BA7BD3">
        <w:rPr>
          <w:rFonts w:ascii="Times New Roman" w:hAnsi="Times New Roman" w:cs="Times New Roman"/>
          <w:sz w:val="24"/>
          <w:szCs w:val="24"/>
          <w:highlight w:val="cyan"/>
        </w:rPr>
        <w:t xml:space="preserve"> if space is needed</w:t>
      </w:r>
      <w:r w:rsidR="00BA7BD3">
        <w:rPr>
          <w:rFonts w:ascii="Times New Roman" w:hAnsi="Times New Roman" w:cs="Times New Roman"/>
          <w:sz w:val="24"/>
          <w:szCs w:val="24"/>
        </w:rPr>
        <w:t>)</w:t>
      </w:r>
      <w:r w:rsidR="008B3B1F" w:rsidRPr="00BB3B84">
        <w:rPr>
          <w:rFonts w:ascii="Times New Roman" w:hAnsi="Times New Roman" w:cs="Times New Roman"/>
          <w:sz w:val="24"/>
          <w:szCs w:val="24"/>
        </w:rPr>
        <w:t>:</w:t>
      </w:r>
    </w:p>
    <w:p w14:paraId="68FBD48B" w14:textId="4E180687" w:rsidR="008B3B1F" w:rsidRPr="00BB3B84" w:rsidRDefault="008B3B1F" w:rsidP="008B3B1F">
      <w:pPr>
        <w:pStyle w:val="ListParagraph"/>
        <w:numPr>
          <w:ilvl w:val="0"/>
          <w:numId w:val="7"/>
        </w:numPr>
        <w:spacing w:line="240" w:lineRule="auto"/>
        <w:rPr>
          <w:rFonts w:ascii="Times New Roman" w:hAnsi="Times New Roman" w:cs="Times New Roman"/>
          <w:sz w:val="24"/>
          <w:szCs w:val="24"/>
        </w:rPr>
      </w:pPr>
      <w:r w:rsidRPr="00BB3B84">
        <w:rPr>
          <w:rFonts w:ascii="Times New Roman" w:hAnsi="Times New Roman" w:cs="Times New Roman"/>
          <w:sz w:val="24"/>
          <w:szCs w:val="24"/>
        </w:rPr>
        <w:t xml:space="preserve">The Bachelor of Science in Business Administration used a combination of rubrics and tests to assess three of the PSLOs. Based on data from the </w:t>
      </w:r>
      <w:r w:rsidR="00DD2DF3">
        <w:rPr>
          <w:rFonts w:ascii="Times New Roman" w:hAnsi="Times New Roman" w:cs="Times New Roman"/>
          <w:sz w:val="24"/>
          <w:szCs w:val="24"/>
        </w:rPr>
        <w:t>Fall</w:t>
      </w:r>
      <w:r w:rsidRPr="00BB3B84">
        <w:rPr>
          <w:rFonts w:ascii="Times New Roman" w:hAnsi="Times New Roman" w:cs="Times New Roman"/>
          <w:sz w:val="24"/>
          <w:szCs w:val="24"/>
        </w:rPr>
        <w:t xml:space="preserve"> semester, the program implemented mid-year interventions and observed improvement in students’ ability to orally communicate in an effective and professional manner (</w:t>
      </w:r>
      <w:r w:rsidR="00125D5B">
        <w:rPr>
          <w:rFonts w:ascii="Times New Roman" w:hAnsi="Times New Roman" w:cs="Times New Roman"/>
          <w:sz w:val="24"/>
          <w:szCs w:val="24"/>
          <w:highlight w:val="yellow"/>
        </w:rPr>
        <w:t>Appendix 6.x</w:t>
      </w:r>
      <w:r w:rsidRPr="00BB3B84">
        <w:rPr>
          <w:rFonts w:ascii="Times New Roman" w:hAnsi="Times New Roman" w:cs="Times New Roman"/>
          <w:sz w:val="24"/>
          <w:szCs w:val="24"/>
          <w:highlight w:val="yellow"/>
        </w:rPr>
        <w:t xml:space="preserve"> </w:t>
      </w:r>
      <w:r w:rsidR="00BA7BD3">
        <w:rPr>
          <w:rFonts w:ascii="Times New Roman" w:hAnsi="Times New Roman" w:cs="Times New Roman"/>
          <w:sz w:val="24"/>
          <w:szCs w:val="24"/>
          <w:highlight w:val="yellow"/>
        </w:rPr>
        <w:t xml:space="preserve">or Link </w:t>
      </w:r>
      <w:r w:rsidRPr="00BB3B84">
        <w:rPr>
          <w:rFonts w:ascii="Times New Roman" w:hAnsi="Times New Roman" w:cs="Times New Roman"/>
          <w:sz w:val="24"/>
          <w:szCs w:val="24"/>
          <w:highlight w:val="yellow"/>
        </w:rPr>
        <w:t>– BS Business Administration 2013-14 Assessment Report</w:t>
      </w:r>
      <w:r w:rsidRPr="00BB3B84">
        <w:rPr>
          <w:rFonts w:ascii="Times New Roman" w:hAnsi="Times New Roman" w:cs="Times New Roman"/>
          <w:sz w:val="24"/>
          <w:szCs w:val="24"/>
        </w:rPr>
        <w:t xml:space="preserve">). </w:t>
      </w:r>
    </w:p>
    <w:p w14:paraId="2015CC0A" w14:textId="7FACC646" w:rsidR="008B3B1F" w:rsidRPr="00BB3B84" w:rsidRDefault="008B3B1F" w:rsidP="008B3B1F">
      <w:pPr>
        <w:pStyle w:val="ListParagraph"/>
        <w:numPr>
          <w:ilvl w:val="0"/>
          <w:numId w:val="7"/>
        </w:numPr>
        <w:spacing w:line="240" w:lineRule="auto"/>
        <w:rPr>
          <w:rFonts w:ascii="Times New Roman" w:hAnsi="Times New Roman" w:cs="Times New Roman"/>
          <w:sz w:val="24"/>
          <w:szCs w:val="24"/>
        </w:rPr>
      </w:pPr>
      <w:r w:rsidRPr="00BB3B84">
        <w:rPr>
          <w:rFonts w:ascii="Times New Roman" w:hAnsi="Times New Roman" w:cs="Times New Roman"/>
          <w:sz w:val="24"/>
          <w:szCs w:val="24"/>
        </w:rPr>
        <w:t xml:space="preserve">The Bachelor of Arts in Women’s Studies used a rubric to assess senior students’ performance on a semester-long capstone project and discovered that students’ performance was less than satisfactory in the area of intersectional analysis; these results will be shared with the Women’s Studies faculty and with interested students in </w:t>
      </w:r>
      <w:r w:rsidR="00DD2DF3">
        <w:rPr>
          <w:rFonts w:ascii="Times New Roman" w:hAnsi="Times New Roman" w:cs="Times New Roman"/>
          <w:sz w:val="24"/>
          <w:szCs w:val="24"/>
        </w:rPr>
        <w:t>Fall</w:t>
      </w:r>
      <w:r w:rsidRPr="00BB3B84">
        <w:rPr>
          <w:rFonts w:ascii="Times New Roman" w:hAnsi="Times New Roman" w:cs="Times New Roman"/>
          <w:sz w:val="24"/>
          <w:szCs w:val="24"/>
        </w:rPr>
        <w:t xml:space="preserve"> 2014 in order to develop specific action items (</w:t>
      </w:r>
      <w:r w:rsidR="00125D5B">
        <w:rPr>
          <w:rFonts w:ascii="Times New Roman" w:hAnsi="Times New Roman" w:cs="Times New Roman"/>
          <w:sz w:val="24"/>
          <w:szCs w:val="24"/>
          <w:highlight w:val="yellow"/>
        </w:rPr>
        <w:t>Appendix 6.x</w:t>
      </w:r>
      <w:r w:rsidRPr="00BB3B84">
        <w:rPr>
          <w:rFonts w:ascii="Times New Roman" w:hAnsi="Times New Roman" w:cs="Times New Roman"/>
          <w:sz w:val="24"/>
          <w:szCs w:val="24"/>
          <w:highlight w:val="yellow"/>
        </w:rPr>
        <w:t xml:space="preserve"> </w:t>
      </w:r>
      <w:r w:rsidR="00BA7BD3">
        <w:rPr>
          <w:rFonts w:ascii="Times New Roman" w:hAnsi="Times New Roman" w:cs="Times New Roman"/>
          <w:sz w:val="24"/>
          <w:szCs w:val="24"/>
          <w:highlight w:val="yellow"/>
        </w:rPr>
        <w:t xml:space="preserve">or Link </w:t>
      </w:r>
      <w:r w:rsidRPr="00BB3B84">
        <w:rPr>
          <w:rFonts w:ascii="Times New Roman" w:hAnsi="Times New Roman" w:cs="Times New Roman"/>
          <w:sz w:val="24"/>
          <w:szCs w:val="24"/>
          <w:highlight w:val="yellow"/>
        </w:rPr>
        <w:t>– BA Women’s Studies 2013-14 Assessment Report</w:t>
      </w:r>
      <w:r w:rsidRPr="00BB3B84">
        <w:rPr>
          <w:rFonts w:ascii="Times New Roman" w:hAnsi="Times New Roman" w:cs="Times New Roman"/>
          <w:sz w:val="24"/>
          <w:szCs w:val="24"/>
        </w:rPr>
        <w:t xml:space="preserve">). </w:t>
      </w:r>
    </w:p>
    <w:p w14:paraId="7F41528D" w14:textId="261ED83D" w:rsidR="008B3B1F" w:rsidRPr="00BB3B84" w:rsidRDefault="008B3B1F" w:rsidP="008B3B1F">
      <w:pPr>
        <w:pStyle w:val="ListParagraph"/>
        <w:numPr>
          <w:ilvl w:val="0"/>
          <w:numId w:val="7"/>
        </w:numPr>
        <w:spacing w:line="240" w:lineRule="auto"/>
        <w:rPr>
          <w:rFonts w:ascii="Times New Roman" w:hAnsi="Times New Roman" w:cs="Times New Roman"/>
          <w:sz w:val="24"/>
          <w:szCs w:val="24"/>
        </w:rPr>
      </w:pPr>
      <w:r w:rsidRPr="00BB3B84">
        <w:rPr>
          <w:rFonts w:ascii="Times New Roman" w:hAnsi="Times New Roman" w:cs="Times New Roman"/>
          <w:sz w:val="24"/>
          <w:szCs w:val="24"/>
        </w:rPr>
        <w:t xml:space="preserve">The Bachelor of Arts in Human Development designed a multiple choice instrument to measure students’ understanding of the psychological and biological factors that impact development, and found that students’ scores on psychological factor items significantly improved from year one to year four, but scores on questions about biological factors did not </w:t>
      </w:r>
      <w:r w:rsidRPr="00BB3B84">
        <w:rPr>
          <w:rFonts w:ascii="Times New Roman" w:hAnsi="Times New Roman" w:cs="Times New Roman"/>
          <w:sz w:val="24"/>
          <w:szCs w:val="24"/>
          <w:highlight w:val="yellow"/>
        </w:rPr>
        <w:t>(</w:t>
      </w:r>
      <w:r w:rsidR="00125D5B">
        <w:rPr>
          <w:rFonts w:ascii="Times New Roman" w:hAnsi="Times New Roman" w:cs="Times New Roman"/>
          <w:sz w:val="24"/>
          <w:szCs w:val="24"/>
          <w:highlight w:val="yellow"/>
        </w:rPr>
        <w:t>Appendix 6.x</w:t>
      </w:r>
      <w:r w:rsidR="00BA7BD3">
        <w:rPr>
          <w:rFonts w:ascii="Times New Roman" w:hAnsi="Times New Roman" w:cs="Times New Roman"/>
          <w:sz w:val="24"/>
          <w:szCs w:val="24"/>
          <w:highlight w:val="yellow"/>
        </w:rPr>
        <w:t xml:space="preserve"> or Link</w:t>
      </w:r>
      <w:r w:rsidRPr="00BB3B84">
        <w:rPr>
          <w:rFonts w:ascii="Times New Roman" w:hAnsi="Times New Roman" w:cs="Times New Roman"/>
          <w:sz w:val="24"/>
          <w:szCs w:val="24"/>
          <w:highlight w:val="yellow"/>
        </w:rPr>
        <w:t xml:space="preserve"> – BA Human Development 2013-14 Assessment Report</w:t>
      </w:r>
      <w:r w:rsidRPr="00BB3B84">
        <w:rPr>
          <w:rFonts w:ascii="Times New Roman" w:hAnsi="Times New Roman" w:cs="Times New Roman"/>
          <w:sz w:val="24"/>
          <w:szCs w:val="24"/>
        </w:rPr>
        <w:t xml:space="preserve">). </w:t>
      </w:r>
    </w:p>
    <w:p w14:paraId="0808F0E6" w14:textId="6DDD2F12" w:rsidR="008B3B1F" w:rsidRPr="00BB3B84" w:rsidRDefault="008B3B1F" w:rsidP="008B3B1F">
      <w:pPr>
        <w:pStyle w:val="ListParagraph"/>
        <w:numPr>
          <w:ilvl w:val="0"/>
          <w:numId w:val="7"/>
        </w:numPr>
        <w:spacing w:line="240" w:lineRule="auto"/>
        <w:rPr>
          <w:rFonts w:ascii="Times New Roman" w:hAnsi="Times New Roman" w:cs="Times New Roman"/>
          <w:sz w:val="24"/>
          <w:szCs w:val="24"/>
        </w:rPr>
      </w:pPr>
      <w:r w:rsidRPr="00BB3B84">
        <w:rPr>
          <w:rFonts w:ascii="Times New Roman" w:hAnsi="Times New Roman" w:cs="Times New Roman"/>
          <w:sz w:val="24"/>
          <w:szCs w:val="24"/>
        </w:rPr>
        <w:t>The Bachelor of Arts in Global Studies used the American Council on the Teaching of Foreign Languages (ACTFL) proficiency guidelines to determine that students in upper level foreign language courses demonstrated the required intermediate-high proficiency level in a second language, but they observed that students did not always use their skills to gain further knowledge of other cultures. Resulting recommendations included increased visibility of the learning outcome in course syllabi, and a workshop or colloquium focused on the teaching of culture and associated learning tasks (</w:t>
      </w:r>
      <w:r w:rsidR="00125D5B">
        <w:rPr>
          <w:rFonts w:ascii="Times New Roman" w:hAnsi="Times New Roman" w:cs="Times New Roman"/>
          <w:sz w:val="24"/>
          <w:szCs w:val="24"/>
          <w:highlight w:val="yellow"/>
        </w:rPr>
        <w:t>Appendix 6.x</w:t>
      </w:r>
      <w:r w:rsidRPr="00BB3B84">
        <w:rPr>
          <w:rFonts w:ascii="Times New Roman" w:hAnsi="Times New Roman" w:cs="Times New Roman"/>
          <w:sz w:val="24"/>
          <w:szCs w:val="24"/>
          <w:highlight w:val="yellow"/>
        </w:rPr>
        <w:t xml:space="preserve"> </w:t>
      </w:r>
      <w:r w:rsidR="00BA7BD3">
        <w:rPr>
          <w:rFonts w:ascii="Times New Roman" w:hAnsi="Times New Roman" w:cs="Times New Roman"/>
          <w:sz w:val="24"/>
          <w:szCs w:val="24"/>
          <w:highlight w:val="yellow"/>
        </w:rPr>
        <w:t xml:space="preserve">or Link </w:t>
      </w:r>
      <w:r w:rsidRPr="00BB3B84">
        <w:rPr>
          <w:rFonts w:ascii="Times New Roman" w:hAnsi="Times New Roman" w:cs="Times New Roman"/>
          <w:sz w:val="24"/>
          <w:szCs w:val="24"/>
          <w:highlight w:val="yellow"/>
        </w:rPr>
        <w:t>– BA Global Studies 2013-14 Assessment Report</w:t>
      </w:r>
      <w:r w:rsidRPr="00BB3B84">
        <w:rPr>
          <w:rFonts w:ascii="Times New Roman" w:hAnsi="Times New Roman" w:cs="Times New Roman"/>
          <w:sz w:val="24"/>
          <w:szCs w:val="24"/>
        </w:rPr>
        <w:t xml:space="preserve">). This program is also undergoing program review and will revisit these recommendations in Spring 2015. </w:t>
      </w:r>
    </w:p>
    <w:p w14:paraId="5A0E5CD4" w14:textId="642FD590" w:rsidR="008B3B1F" w:rsidRPr="00BB3B84" w:rsidRDefault="008B3B1F" w:rsidP="008B3B1F">
      <w:pPr>
        <w:pStyle w:val="ListParagraph"/>
        <w:numPr>
          <w:ilvl w:val="0"/>
          <w:numId w:val="7"/>
        </w:numPr>
        <w:spacing w:line="240" w:lineRule="auto"/>
        <w:rPr>
          <w:rFonts w:ascii="Times New Roman" w:hAnsi="Times New Roman" w:cs="Times New Roman"/>
          <w:sz w:val="24"/>
          <w:szCs w:val="24"/>
        </w:rPr>
      </w:pPr>
      <w:r w:rsidRPr="00BB3B84">
        <w:rPr>
          <w:rFonts w:ascii="Times New Roman" w:hAnsi="Times New Roman" w:cs="Times New Roman"/>
          <w:sz w:val="24"/>
          <w:szCs w:val="24"/>
        </w:rPr>
        <w:t>The Master of Science in Computer Science gathered data from a variety of course-embedded assignments to assess student learning in a course offered online for the first time. The program used its findings to reflect on the effectiveness of the online modality in supporting student learning. The program ultimately decided to discontinue the online version of the course; instead, the program intends to collaborate with CSUSM’s Instructional &amp; Information Technology Services (IITS) to increase the hands-on nature of the traditional course (</w:t>
      </w:r>
      <w:r w:rsidR="00125D5B">
        <w:rPr>
          <w:rFonts w:ascii="Times New Roman" w:hAnsi="Times New Roman" w:cs="Times New Roman"/>
          <w:sz w:val="24"/>
          <w:szCs w:val="24"/>
          <w:highlight w:val="yellow"/>
        </w:rPr>
        <w:t>Appendix 6.x</w:t>
      </w:r>
      <w:r w:rsidR="00BA7BD3">
        <w:rPr>
          <w:rFonts w:ascii="Times New Roman" w:hAnsi="Times New Roman" w:cs="Times New Roman"/>
          <w:sz w:val="24"/>
          <w:szCs w:val="24"/>
          <w:highlight w:val="yellow"/>
        </w:rPr>
        <w:t xml:space="preserve"> or Link</w:t>
      </w:r>
      <w:r w:rsidRPr="00BB3B84">
        <w:rPr>
          <w:rFonts w:ascii="Times New Roman" w:hAnsi="Times New Roman" w:cs="Times New Roman"/>
          <w:sz w:val="24"/>
          <w:szCs w:val="24"/>
          <w:highlight w:val="yellow"/>
        </w:rPr>
        <w:t xml:space="preserve"> – MS Computer Science 2013-14 Assessment Report</w:t>
      </w:r>
      <w:r w:rsidRPr="00BB3B84">
        <w:rPr>
          <w:rFonts w:ascii="Times New Roman" w:hAnsi="Times New Roman" w:cs="Times New Roman"/>
          <w:sz w:val="24"/>
          <w:szCs w:val="24"/>
        </w:rPr>
        <w:t>).</w:t>
      </w:r>
    </w:p>
    <w:p w14:paraId="740C1079" w14:textId="5E757D11" w:rsidR="008B3B1F" w:rsidRPr="00BB3B84" w:rsidRDefault="008B3B1F" w:rsidP="008B3B1F">
      <w:pPr>
        <w:pStyle w:val="ListParagraph"/>
        <w:numPr>
          <w:ilvl w:val="0"/>
          <w:numId w:val="7"/>
        </w:numPr>
        <w:spacing w:line="240" w:lineRule="auto"/>
        <w:rPr>
          <w:rFonts w:ascii="Times New Roman" w:hAnsi="Times New Roman" w:cs="Times New Roman"/>
          <w:sz w:val="24"/>
          <w:szCs w:val="24"/>
        </w:rPr>
      </w:pPr>
      <w:r w:rsidRPr="00BB3B84">
        <w:rPr>
          <w:rFonts w:ascii="Times New Roman" w:hAnsi="Times New Roman" w:cs="Times New Roman"/>
          <w:sz w:val="24"/>
          <w:szCs w:val="24"/>
        </w:rPr>
        <w:lastRenderedPageBreak/>
        <w:t>Trends across programs have also been observed, with multiple programs indicating that their assessment efforts indicated room for improvement of students’ abilities to apply appropriate theoretical frameworks to research (</w:t>
      </w:r>
      <w:r w:rsidRPr="00BB3B84">
        <w:rPr>
          <w:rFonts w:ascii="Times New Roman" w:hAnsi="Times New Roman" w:cs="Times New Roman"/>
          <w:sz w:val="24"/>
          <w:szCs w:val="24"/>
          <w:highlight w:val="yellow"/>
        </w:rPr>
        <w:t>Appendices</w:t>
      </w:r>
      <w:r w:rsidR="00BA7BD3">
        <w:rPr>
          <w:rFonts w:ascii="Times New Roman" w:hAnsi="Times New Roman" w:cs="Times New Roman"/>
          <w:sz w:val="24"/>
          <w:szCs w:val="24"/>
          <w:highlight w:val="yellow"/>
        </w:rPr>
        <w:t xml:space="preserve"> or Links</w:t>
      </w:r>
      <w:r w:rsidRPr="00BB3B84">
        <w:rPr>
          <w:rFonts w:ascii="Times New Roman" w:hAnsi="Times New Roman" w:cs="Times New Roman"/>
          <w:sz w:val="24"/>
          <w:szCs w:val="24"/>
          <w:highlight w:val="yellow"/>
        </w:rPr>
        <w:t xml:space="preserve"> - BA Political Science, MA LTWR, MA Psychology 2013-14 Assessment Reports</w:t>
      </w:r>
      <w:r w:rsidR="002E3926">
        <w:rPr>
          <w:rFonts w:ascii="Times New Roman" w:hAnsi="Times New Roman" w:cs="Times New Roman"/>
          <w:sz w:val="24"/>
          <w:szCs w:val="24"/>
        </w:rPr>
        <w:t>).</w:t>
      </w:r>
      <w:r w:rsidRPr="00BB3B84">
        <w:rPr>
          <w:rFonts w:ascii="Times New Roman" w:hAnsi="Times New Roman" w:cs="Times New Roman"/>
          <w:sz w:val="24"/>
          <w:szCs w:val="24"/>
        </w:rPr>
        <w:t xml:space="preserve"> </w:t>
      </w:r>
    </w:p>
    <w:p w14:paraId="0DE0DB89" w14:textId="4CADE9DF" w:rsidR="008B3B1F" w:rsidRDefault="00A948F5" w:rsidP="008B3B1F">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6.1.1.4 </w:t>
      </w:r>
      <w:r w:rsidR="00BA7BD3" w:rsidRPr="00BA7BD3">
        <w:rPr>
          <w:rFonts w:ascii="Times New Roman" w:hAnsi="Times New Roman" w:cs="Times New Roman"/>
          <w:sz w:val="24"/>
          <w:szCs w:val="24"/>
          <w:u w:val="single"/>
        </w:rPr>
        <w:t xml:space="preserve">Annual Assessment </w:t>
      </w:r>
      <w:r w:rsidR="008B3B1F" w:rsidRPr="00BA7BD3">
        <w:rPr>
          <w:rFonts w:ascii="Times New Roman" w:hAnsi="Times New Roman" w:cs="Times New Roman"/>
          <w:sz w:val="24"/>
          <w:szCs w:val="24"/>
          <w:u w:val="single"/>
        </w:rPr>
        <w:t>Looking Forward</w:t>
      </w:r>
      <w:r w:rsidR="00886D43" w:rsidRPr="00BA7BD3">
        <w:rPr>
          <w:rFonts w:ascii="Times New Roman" w:hAnsi="Times New Roman" w:cs="Times New Roman"/>
          <w:b/>
          <w:sz w:val="24"/>
          <w:szCs w:val="24"/>
        </w:rPr>
        <w:t xml:space="preserve"> </w:t>
      </w:r>
      <w:r w:rsidR="00886D43">
        <w:rPr>
          <w:rFonts w:ascii="Times New Roman" w:hAnsi="Times New Roman" w:cs="Times New Roman"/>
          <w:b/>
          <w:sz w:val="24"/>
          <w:szCs w:val="24"/>
        </w:rPr>
        <w:t xml:space="preserve">- </w:t>
      </w:r>
      <w:r w:rsidR="008B3B1F" w:rsidRPr="00BB3B84">
        <w:rPr>
          <w:rFonts w:ascii="Times New Roman" w:hAnsi="Times New Roman" w:cs="Times New Roman"/>
          <w:sz w:val="24"/>
          <w:szCs w:val="24"/>
        </w:rPr>
        <w:t>The variety of approaches used by programs to assess student learning demonstrate ingenuity and curiosity with regard to assessment, and the additiona</w:t>
      </w:r>
      <w:r w:rsidR="00272753">
        <w:rPr>
          <w:rFonts w:ascii="Times New Roman" w:hAnsi="Times New Roman" w:cs="Times New Roman"/>
          <w:sz w:val="24"/>
          <w:szCs w:val="24"/>
        </w:rPr>
        <w:t>l support provided by the UAC, University Assessment Specialist, and</w:t>
      </w:r>
      <w:r w:rsidR="008B3B1F" w:rsidRPr="00BB3B84">
        <w:rPr>
          <w:rFonts w:ascii="Times New Roman" w:hAnsi="Times New Roman" w:cs="Times New Roman"/>
          <w:sz w:val="24"/>
          <w:szCs w:val="24"/>
        </w:rPr>
        <w:t xml:space="preserve"> workshops will help faculty to refine their methods and become even more proficient assessment practitioners. In particular, the University recognizes that it needs to continue to develop infrastructure for the campus community to share results and best practices across divisions and departments. Another area that we have identified needs further work is helping departments to “close the loop” on their assessment activities.  The new </w:t>
      </w:r>
      <w:r w:rsidR="00272753">
        <w:rPr>
          <w:rFonts w:ascii="Times New Roman" w:hAnsi="Times New Roman" w:cs="Times New Roman"/>
          <w:sz w:val="24"/>
          <w:szCs w:val="24"/>
        </w:rPr>
        <w:t>University A</w:t>
      </w:r>
      <w:r w:rsidR="008B3B1F" w:rsidRPr="00BB3B84">
        <w:rPr>
          <w:rFonts w:ascii="Times New Roman" w:hAnsi="Times New Roman" w:cs="Times New Roman"/>
          <w:sz w:val="24"/>
          <w:szCs w:val="24"/>
        </w:rPr>
        <w:t xml:space="preserve">ssessment </w:t>
      </w:r>
      <w:r w:rsidR="00272753">
        <w:rPr>
          <w:rFonts w:ascii="Times New Roman" w:hAnsi="Times New Roman" w:cs="Times New Roman"/>
          <w:sz w:val="24"/>
          <w:szCs w:val="24"/>
        </w:rPr>
        <w:t>S</w:t>
      </w:r>
      <w:r w:rsidR="008B3B1F" w:rsidRPr="00BB3B84">
        <w:rPr>
          <w:rFonts w:ascii="Times New Roman" w:hAnsi="Times New Roman" w:cs="Times New Roman"/>
          <w:sz w:val="24"/>
          <w:szCs w:val="24"/>
        </w:rPr>
        <w:t xml:space="preserve">pecialist and </w:t>
      </w:r>
      <w:r w:rsidR="00721CF0">
        <w:rPr>
          <w:rFonts w:ascii="Times New Roman" w:hAnsi="Times New Roman" w:cs="Times New Roman"/>
          <w:sz w:val="24"/>
          <w:szCs w:val="24"/>
        </w:rPr>
        <w:t xml:space="preserve">the </w:t>
      </w:r>
      <w:r w:rsidR="008B3B1F" w:rsidRPr="00BB3B84">
        <w:rPr>
          <w:rFonts w:ascii="Times New Roman" w:hAnsi="Times New Roman" w:cs="Times New Roman"/>
          <w:sz w:val="24"/>
          <w:szCs w:val="24"/>
        </w:rPr>
        <w:t xml:space="preserve">UAC will be </w:t>
      </w:r>
      <w:r w:rsidR="00843EFA">
        <w:rPr>
          <w:rFonts w:ascii="Times New Roman" w:hAnsi="Times New Roman" w:cs="Times New Roman"/>
          <w:sz w:val="24"/>
          <w:szCs w:val="24"/>
        </w:rPr>
        <w:t xml:space="preserve">key components </w:t>
      </w:r>
      <w:r w:rsidR="008B3B1F" w:rsidRPr="00BB3B84">
        <w:rPr>
          <w:rFonts w:ascii="Times New Roman" w:hAnsi="Times New Roman" w:cs="Times New Roman"/>
          <w:sz w:val="24"/>
          <w:szCs w:val="24"/>
        </w:rPr>
        <w:t xml:space="preserve">in providing a structure to support departments and colleges to share their findings and make improvements within their majors and courses. </w:t>
      </w:r>
      <w:r w:rsidR="00721CF0">
        <w:rPr>
          <w:rFonts w:ascii="Times New Roman" w:hAnsi="Times New Roman" w:cs="Times New Roman"/>
          <w:sz w:val="24"/>
          <w:szCs w:val="24"/>
        </w:rPr>
        <w:t xml:space="preserve">Work has already begun to refine assessment activity, developing methods that are sustainable and informs pedagogy, curriculum, and the program. </w:t>
      </w:r>
      <w:r w:rsidR="00970465">
        <w:rPr>
          <w:rFonts w:ascii="Times New Roman" w:hAnsi="Times New Roman" w:cs="Times New Roman"/>
          <w:sz w:val="24"/>
          <w:szCs w:val="24"/>
        </w:rPr>
        <w:t xml:space="preserve">The </w:t>
      </w:r>
      <w:r w:rsidR="00272753">
        <w:rPr>
          <w:rFonts w:ascii="Times New Roman" w:hAnsi="Times New Roman" w:cs="Times New Roman"/>
          <w:sz w:val="24"/>
          <w:szCs w:val="24"/>
        </w:rPr>
        <w:t xml:space="preserve">University </w:t>
      </w:r>
      <w:r w:rsidR="00970465">
        <w:rPr>
          <w:rFonts w:ascii="Times New Roman" w:hAnsi="Times New Roman" w:cs="Times New Roman"/>
          <w:sz w:val="24"/>
          <w:szCs w:val="24"/>
        </w:rPr>
        <w:t>Assessment Specialist meets with departments one-on-one to</w:t>
      </w:r>
      <w:r w:rsidR="008B3B1F" w:rsidRPr="00BB3B84">
        <w:rPr>
          <w:rFonts w:ascii="Times New Roman" w:hAnsi="Times New Roman" w:cs="Times New Roman"/>
          <w:sz w:val="24"/>
          <w:szCs w:val="24"/>
        </w:rPr>
        <w:t xml:space="preserve"> </w:t>
      </w:r>
      <w:r w:rsidR="00970465">
        <w:rPr>
          <w:rFonts w:ascii="Times New Roman" w:hAnsi="Times New Roman" w:cs="Times New Roman"/>
          <w:sz w:val="24"/>
          <w:szCs w:val="24"/>
        </w:rPr>
        <w:t xml:space="preserve">assist with </w:t>
      </w:r>
      <w:r w:rsidR="008B3B1F" w:rsidRPr="00BB3B84">
        <w:rPr>
          <w:rFonts w:ascii="Times New Roman" w:hAnsi="Times New Roman" w:cs="Times New Roman"/>
          <w:sz w:val="24"/>
          <w:szCs w:val="24"/>
        </w:rPr>
        <w:t xml:space="preserve">the </w:t>
      </w:r>
      <w:r w:rsidR="00970465">
        <w:rPr>
          <w:rFonts w:ascii="Times New Roman" w:hAnsi="Times New Roman" w:cs="Times New Roman"/>
          <w:sz w:val="24"/>
          <w:szCs w:val="24"/>
        </w:rPr>
        <w:t xml:space="preserve">review of the </w:t>
      </w:r>
      <w:r w:rsidR="008B3B1F" w:rsidRPr="00BB3B84">
        <w:rPr>
          <w:rFonts w:ascii="Times New Roman" w:hAnsi="Times New Roman" w:cs="Times New Roman"/>
          <w:sz w:val="24"/>
          <w:szCs w:val="24"/>
        </w:rPr>
        <w:t>collected data</w:t>
      </w:r>
      <w:r w:rsidR="00970465">
        <w:rPr>
          <w:rFonts w:ascii="Times New Roman" w:hAnsi="Times New Roman" w:cs="Times New Roman"/>
          <w:sz w:val="24"/>
          <w:szCs w:val="24"/>
        </w:rPr>
        <w:t xml:space="preserve"> and</w:t>
      </w:r>
      <w:r w:rsidR="008B3B1F" w:rsidRPr="00BB3B84">
        <w:rPr>
          <w:rFonts w:ascii="Times New Roman" w:hAnsi="Times New Roman" w:cs="Times New Roman"/>
          <w:sz w:val="24"/>
          <w:szCs w:val="24"/>
        </w:rPr>
        <w:t xml:space="preserve"> to </w:t>
      </w:r>
      <w:r w:rsidR="00970465">
        <w:rPr>
          <w:rFonts w:ascii="Times New Roman" w:hAnsi="Times New Roman" w:cs="Times New Roman"/>
          <w:sz w:val="24"/>
          <w:szCs w:val="24"/>
        </w:rPr>
        <w:t>develop</w:t>
      </w:r>
      <w:r w:rsidR="008B3B1F" w:rsidRPr="00BB3B84">
        <w:rPr>
          <w:rFonts w:ascii="Times New Roman" w:hAnsi="Times New Roman" w:cs="Times New Roman"/>
          <w:sz w:val="24"/>
          <w:szCs w:val="24"/>
        </w:rPr>
        <w:t xml:space="preserve"> targeted programmatic improvements that impact student learning. </w:t>
      </w:r>
    </w:p>
    <w:p w14:paraId="30C3E8F5" w14:textId="5B902FDD" w:rsidR="001D5A94" w:rsidRDefault="00A948F5" w:rsidP="008B3B1F">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6.1.2 </w:t>
      </w:r>
      <w:r w:rsidR="001D5A94" w:rsidRPr="00886D43">
        <w:rPr>
          <w:rFonts w:ascii="Times New Roman" w:hAnsi="Times New Roman" w:cs="Times New Roman"/>
          <w:b/>
          <w:i/>
          <w:sz w:val="24"/>
          <w:szCs w:val="24"/>
        </w:rPr>
        <w:t>General Education Assessment (CFRs 2.2a, 4.1)</w:t>
      </w:r>
    </w:p>
    <w:p w14:paraId="286B554D" w14:textId="77777777" w:rsidR="00F25251" w:rsidRDefault="00F25251" w:rsidP="00F25251">
      <w:pPr>
        <w:spacing w:line="240" w:lineRule="auto"/>
        <w:rPr>
          <w:rFonts w:ascii="Times New Roman" w:hAnsi="Times New Roman" w:cs="Times New Roman"/>
          <w:sz w:val="24"/>
          <w:szCs w:val="24"/>
        </w:rPr>
      </w:pPr>
      <w:r w:rsidRPr="0066283C">
        <w:rPr>
          <w:rFonts w:ascii="Times New Roman" w:hAnsi="Times New Roman" w:cs="Times New Roman"/>
          <w:sz w:val="24"/>
          <w:szCs w:val="24"/>
        </w:rPr>
        <w:t xml:space="preserve">Like other programs on the CSUSM campus, General Education </w:t>
      </w:r>
      <w:r>
        <w:rPr>
          <w:rFonts w:ascii="Times New Roman" w:hAnsi="Times New Roman" w:cs="Times New Roman"/>
          <w:sz w:val="24"/>
          <w:szCs w:val="24"/>
        </w:rPr>
        <w:t>h</w:t>
      </w:r>
      <w:r w:rsidRPr="0066283C">
        <w:rPr>
          <w:rFonts w:ascii="Times New Roman" w:hAnsi="Times New Roman" w:cs="Times New Roman"/>
          <w:sz w:val="24"/>
          <w:szCs w:val="24"/>
        </w:rPr>
        <w:t>as had to undergo much self-evaluation in order to ascertain goals, learning outcomes, and an overall collective understanding of the purpose and value of programmatic assessment efforts.</w:t>
      </w:r>
    </w:p>
    <w:p w14:paraId="38B43441" w14:textId="76805EF3" w:rsidR="00F25251" w:rsidRDefault="00F25251" w:rsidP="00F25251">
      <w:pPr>
        <w:spacing w:line="240" w:lineRule="auto"/>
        <w:rPr>
          <w:rFonts w:ascii="Times New Roman" w:hAnsi="Times New Roman" w:cs="Times New Roman"/>
          <w:sz w:val="24"/>
          <w:szCs w:val="24"/>
        </w:rPr>
      </w:pPr>
      <w:r w:rsidRPr="00F25251">
        <w:rPr>
          <w:rFonts w:ascii="Times New Roman" w:hAnsi="Times New Roman" w:cs="Times New Roman"/>
          <w:sz w:val="24"/>
          <w:szCs w:val="24"/>
        </w:rPr>
        <w:t>CSUSM’s General Education program is rather large (400+ courses) and it is no small effort to establish policy and procedure while allowing for faculty input, revisions, and more input. A process to develop a general education assessment system was first addressed in 2008 when</w:t>
      </w:r>
      <w:r>
        <w:rPr>
          <w:rFonts w:ascii="Times New Roman" w:hAnsi="Times New Roman" w:cs="Times New Roman"/>
          <w:sz w:val="24"/>
          <w:szCs w:val="24"/>
        </w:rPr>
        <w:t xml:space="preserve"> the CSU Chancellor’s office mandated that all GE programs in CSU align with the Liberal Education and America’s Promise (LEAP) goals developed by AAC&amp;U.  On the CSUSM campus, this transferred into articulating each GE area (A, B, C, etc.) and course faculty identifying course learning outcomes that supported the specific GE area. The General Education Committee (GEC), an Academic Senate standing committee, was tasked with developing a method for courses to report the alignment of the course learning outcomes (LOs) with LEAP outcomes, as well as the GE area. In addition, as a result, the GEC was tasked with certifying new GE courses and recertifying </w:t>
      </w:r>
      <w:r w:rsidR="00EC1FC1">
        <w:rPr>
          <w:rFonts w:ascii="Times New Roman" w:hAnsi="Times New Roman" w:cs="Times New Roman"/>
          <w:sz w:val="24"/>
          <w:szCs w:val="24"/>
        </w:rPr>
        <w:t xml:space="preserve">over 100 </w:t>
      </w:r>
      <w:r>
        <w:rPr>
          <w:rFonts w:ascii="Times New Roman" w:hAnsi="Times New Roman" w:cs="Times New Roman"/>
          <w:sz w:val="24"/>
          <w:szCs w:val="24"/>
        </w:rPr>
        <w:t>existing GE courses, ensuring that each aligns with the appropriate GE area. [</w:t>
      </w:r>
      <w:r w:rsidR="00F15F22">
        <w:rPr>
          <w:rFonts w:ascii="Times New Roman" w:hAnsi="Times New Roman" w:cs="Times New Roman"/>
          <w:sz w:val="24"/>
          <w:szCs w:val="24"/>
          <w:highlight w:val="yellow"/>
        </w:rPr>
        <w:t xml:space="preserve">Appendix 6.x </w:t>
      </w:r>
      <w:r w:rsidRPr="00F25251">
        <w:rPr>
          <w:rFonts w:ascii="Times New Roman" w:hAnsi="Times New Roman" w:cs="Times New Roman"/>
          <w:sz w:val="24"/>
          <w:szCs w:val="24"/>
          <w:highlight w:val="yellow"/>
        </w:rPr>
        <w:t>GE forms (C1, C2, C3, etc.]</w:t>
      </w:r>
      <w:r>
        <w:rPr>
          <w:rFonts w:ascii="Times New Roman" w:hAnsi="Times New Roman" w:cs="Times New Roman"/>
          <w:sz w:val="24"/>
          <w:szCs w:val="24"/>
        </w:rPr>
        <w:t xml:space="preserve">   </w:t>
      </w:r>
    </w:p>
    <w:p w14:paraId="74456DD0" w14:textId="5BC58C88" w:rsidR="00F25251" w:rsidRDefault="00F25251" w:rsidP="00F25251">
      <w:pPr>
        <w:spacing w:line="240" w:lineRule="auto"/>
        <w:rPr>
          <w:rFonts w:ascii="Times New Roman" w:hAnsi="Times New Roman" w:cs="Times New Roman"/>
          <w:sz w:val="24"/>
          <w:szCs w:val="24"/>
        </w:rPr>
      </w:pPr>
      <w:r>
        <w:rPr>
          <w:rFonts w:ascii="Times New Roman" w:hAnsi="Times New Roman" w:cs="Times New Roman"/>
          <w:sz w:val="24"/>
          <w:szCs w:val="24"/>
        </w:rPr>
        <w:t>In Fall 2013, nine GE Program Student Learning Outcomes (</w:t>
      </w:r>
      <w:r w:rsidR="00F15F22" w:rsidRPr="00F15F22">
        <w:rPr>
          <w:rFonts w:ascii="Times New Roman" w:hAnsi="Times New Roman" w:cs="Times New Roman"/>
          <w:sz w:val="24"/>
          <w:szCs w:val="24"/>
          <w:highlight w:val="yellow"/>
        </w:rPr>
        <w:t>Appendix ?.x</w:t>
      </w:r>
      <w:r w:rsidRPr="00F15F22">
        <w:rPr>
          <w:rFonts w:ascii="Times New Roman" w:hAnsi="Times New Roman" w:cs="Times New Roman"/>
          <w:sz w:val="24"/>
          <w:szCs w:val="24"/>
          <w:highlight w:val="yellow"/>
        </w:rPr>
        <w:t>GEPSLOs</w:t>
      </w:r>
      <w:r>
        <w:rPr>
          <w:rFonts w:ascii="Times New Roman" w:hAnsi="Times New Roman" w:cs="Times New Roman"/>
          <w:sz w:val="24"/>
          <w:szCs w:val="24"/>
        </w:rPr>
        <w:t>), enveloping the five “Core Competencies” as noted by WASC, and intended to provide a basis from which GE programmatic assessment could be developed, were accepted by the GEC and taken to the Academic Senate by the GEC chair. The GEPSLOs are considered a “working document” and were also accepted by the Academic Senate with the understanding that the GEPSLOs are to be continually reviewed and revised when necessary.</w:t>
      </w:r>
    </w:p>
    <w:p w14:paraId="53E0A73E" w14:textId="45C86E1A" w:rsidR="00F25251" w:rsidRDefault="00F25251" w:rsidP="00F25251">
      <w:pPr>
        <w:spacing w:line="240" w:lineRule="auto"/>
        <w:rPr>
          <w:rFonts w:ascii="Times New Roman" w:hAnsi="Times New Roman" w:cs="Times New Roman"/>
          <w:sz w:val="24"/>
          <w:szCs w:val="24"/>
        </w:rPr>
      </w:pPr>
      <w:r>
        <w:rPr>
          <w:rFonts w:ascii="Times New Roman" w:hAnsi="Times New Roman" w:cs="Times New Roman"/>
          <w:sz w:val="24"/>
          <w:szCs w:val="24"/>
        </w:rPr>
        <w:t xml:space="preserve">Meanwhile, development of University Learning Outcomes (ULOs) was begun in Fall 2013 through the initial work of a small team of faculty and the Dean of Academic Programs with </w:t>
      </w:r>
      <w:r>
        <w:rPr>
          <w:rFonts w:ascii="Times New Roman" w:hAnsi="Times New Roman" w:cs="Times New Roman"/>
          <w:sz w:val="24"/>
          <w:szCs w:val="24"/>
        </w:rPr>
        <w:lastRenderedPageBreak/>
        <w:t xml:space="preserve">input from faculty across campus via a “Discovery Cafe.” A draft of the ULOs was presented to the Academic Senate in Spring 2014, followed by several revisions. In Fall 2014, a final draft was presented to Academic Senate, and the Senate voted to adopt the ULOs as Undergraduate Learning Outcomes only. Therefore, development of Graduate Learning Outcomes (GLOs) has begun in Spring 2015. As a result of the ULO adoption, learning on campus has been aligned, and a clearer compass for where assessment of student learning is headed on campus is provided in </w:t>
      </w:r>
      <w:r w:rsidRPr="007C175F">
        <w:rPr>
          <w:rFonts w:ascii="Times New Roman" w:hAnsi="Times New Roman" w:cs="Times New Roman"/>
          <w:sz w:val="24"/>
          <w:szCs w:val="24"/>
          <w:highlight w:val="yellow"/>
        </w:rPr>
        <w:t>[</w:t>
      </w:r>
      <w:r w:rsidR="00125D5B">
        <w:rPr>
          <w:rFonts w:ascii="Times New Roman" w:hAnsi="Times New Roman" w:cs="Times New Roman"/>
          <w:sz w:val="24"/>
          <w:szCs w:val="24"/>
          <w:highlight w:val="yellow"/>
        </w:rPr>
        <w:t>APPENDIX 6.X</w:t>
      </w:r>
      <w:r w:rsidRPr="007C175F">
        <w:rPr>
          <w:rFonts w:ascii="Times New Roman" w:hAnsi="Times New Roman" w:cs="Times New Roman"/>
          <w:sz w:val="24"/>
          <w:szCs w:val="24"/>
          <w:highlight w:val="yellow"/>
        </w:rPr>
        <w:t xml:space="preserve"> XXX].</w:t>
      </w:r>
    </w:p>
    <w:p w14:paraId="77519911" w14:textId="0D6DBA77" w:rsidR="00721CF0" w:rsidRDefault="00707A62" w:rsidP="008B3B1F">
      <w:pPr>
        <w:spacing w:line="240" w:lineRule="auto"/>
        <w:rPr>
          <w:rFonts w:ascii="Times New Roman" w:hAnsi="Times New Roman" w:cs="Times New Roman"/>
          <w:sz w:val="24"/>
          <w:szCs w:val="24"/>
        </w:rPr>
      </w:pPr>
      <w:r w:rsidRPr="00F25251">
        <w:rPr>
          <w:rFonts w:ascii="Times New Roman" w:hAnsi="Times New Roman" w:cs="Times New Roman"/>
          <w:sz w:val="24"/>
          <w:szCs w:val="24"/>
          <w:u w:val="single"/>
        </w:rPr>
        <w:t xml:space="preserve">GE </w:t>
      </w:r>
      <w:r w:rsidR="00144664" w:rsidRPr="0066283C">
        <w:rPr>
          <w:rFonts w:ascii="Times New Roman" w:hAnsi="Times New Roman" w:cs="Times New Roman"/>
          <w:sz w:val="24"/>
          <w:szCs w:val="24"/>
          <w:u w:val="single"/>
        </w:rPr>
        <w:t xml:space="preserve">Going Forward </w:t>
      </w:r>
      <w:r w:rsidR="00F25251">
        <w:rPr>
          <w:rFonts w:ascii="Times New Roman" w:hAnsi="Times New Roman" w:cs="Times New Roman"/>
          <w:sz w:val="24"/>
          <w:szCs w:val="24"/>
          <w:u w:val="single"/>
        </w:rPr>
        <w:t xml:space="preserve">- </w:t>
      </w:r>
      <w:r w:rsidR="009F7E50">
        <w:rPr>
          <w:rFonts w:ascii="Times New Roman" w:hAnsi="Times New Roman" w:cs="Times New Roman"/>
          <w:sz w:val="24"/>
          <w:szCs w:val="24"/>
        </w:rPr>
        <w:t xml:space="preserve">Assessment of the General Education program on CSUSM’s campus has been inconsistent, at best. However, with the adopted GEPSLOs and ULOs, the campus can finally move forward with a plan to systematically measure student learning in General Education courses. </w:t>
      </w:r>
    </w:p>
    <w:p w14:paraId="107B1D7F" w14:textId="47CAD735" w:rsidR="009F7E50" w:rsidRDefault="009F7E50" w:rsidP="008B3B1F">
      <w:pPr>
        <w:spacing w:line="240" w:lineRule="auto"/>
        <w:rPr>
          <w:rFonts w:ascii="Times New Roman" w:hAnsi="Times New Roman" w:cs="Times New Roman"/>
          <w:sz w:val="24"/>
          <w:szCs w:val="24"/>
        </w:rPr>
      </w:pPr>
      <w:r>
        <w:rPr>
          <w:rFonts w:ascii="Times New Roman" w:hAnsi="Times New Roman" w:cs="Times New Roman"/>
          <w:sz w:val="24"/>
          <w:szCs w:val="24"/>
        </w:rPr>
        <w:t xml:space="preserve">A proposed plan was developed by the </w:t>
      </w:r>
      <w:r w:rsidR="00272753">
        <w:rPr>
          <w:rFonts w:ascii="Times New Roman" w:hAnsi="Times New Roman" w:cs="Times New Roman"/>
          <w:sz w:val="24"/>
          <w:szCs w:val="24"/>
        </w:rPr>
        <w:t xml:space="preserve">University </w:t>
      </w:r>
      <w:r>
        <w:rPr>
          <w:rFonts w:ascii="Times New Roman" w:hAnsi="Times New Roman" w:cs="Times New Roman"/>
          <w:sz w:val="24"/>
          <w:szCs w:val="24"/>
        </w:rPr>
        <w:t xml:space="preserve">Assessment Specialist </w:t>
      </w:r>
      <w:r w:rsidR="00272753">
        <w:rPr>
          <w:rFonts w:ascii="Times New Roman" w:hAnsi="Times New Roman" w:cs="Times New Roman"/>
          <w:sz w:val="24"/>
          <w:szCs w:val="24"/>
        </w:rPr>
        <w:t xml:space="preserve">(UAS) </w:t>
      </w:r>
      <w:r>
        <w:rPr>
          <w:rFonts w:ascii="Times New Roman" w:hAnsi="Times New Roman" w:cs="Times New Roman"/>
          <w:sz w:val="24"/>
          <w:szCs w:val="24"/>
        </w:rPr>
        <w:t xml:space="preserve">and is based on a triennial schedule that will sample both, upper and lower division courses in each General Education area (A, B, C, D, and E). </w:t>
      </w:r>
      <w:r w:rsidR="00536DC1">
        <w:rPr>
          <w:rFonts w:ascii="Times New Roman" w:hAnsi="Times New Roman" w:cs="Times New Roman"/>
          <w:sz w:val="24"/>
          <w:szCs w:val="24"/>
        </w:rPr>
        <w:t xml:space="preserve">The plan will cycle through all nine GEPSLOs in a 3-year period, giving each assessment activity two years to evaluate data, recommend and implement changes, and re-measure to close the loop. </w:t>
      </w:r>
      <w:r>
        <w:rPr>
          <w:rFonts w:ascii="Times New Roman" w:hAnsi="Times New Roman" w:cs="Times New Roman"/>
          <w:sz w:val="24"/>
          <w:szCs w:val="24"/>
        </w:rPr>
        <w:t>The complete plan is available in [</w:t>
      </w:r>
      <w:r w:rsidR="00125D5B">
        <w:rPr>
          <w:rFonts w:ascii="Times New Roman" w:hAnsi="Times New Roman" w:cs="Times New Roman"/>
          <w:sz w:val="24"/>
          <w:szCs w:val="24"/>
          <w:highlight w:val="yellow"/>
        </w:rPr>
        <w:t>APPENDIX 6.X</w:t>
      </w:r>
      <w:r w:rsidRPr="00F25251">
        <w:rPr>
          <w:rFonts w:ascii="Times New Roman" w:hAnsi="Times New Roman" w:cs="Times New Roman"/>
          <w:sz w:val="24"/>
          <w:szCs w:val="24"/>
          <w:highlight w:val="yellow"/>
        </w:rPr>
        <w:t xml:space="preserve"> XX</w:t>
      </w:r>
      <w:r>
        <w:rPr>
          <w:rFonts w:ascii="Times New Roman" w:hAnsi="Times New Roman" w:cs="Times New Roman"/>
          <w:sz w:val="24"/>
          <w:szCs w:val="24"/>
        </w:rPr>
        <w:t xml:space="preserve">] </w:t>
      </w:r>
      <w:r w:rsidR="00536DC1">
        <w:rPr>
          <w:rFonts w:ascii="Times New Roman" w:hAnsi="Times New Roman" w:cs="Times New Roman"/>
          <w:sz w:val="24"/>
          <w:szCs w:val="24"/>
        </w:rPr>
        <w:t>but briefly</w:t>
      </w:r>
      <w:r>
        <w:rPr>
          <w:rFonts w:ascii="Times New Roman" w:hAnsi="Times New Roman" w:cs="Times New Roman"/>
          <w:sz w:val="24"/>
          <w:szCs w:val="24"/>
        </w:rPr>
        <w:t xml:space="preserve"> outlined here:</w:t>
      </w:r>
    </w:p>
    <w:tbl>
      <w:tblPr>
        <w:tblStyle w:val="TableGrid"/>
        <w:tblW w:w="9535" w:type="dxa"/>
        <w:jc w:val="center"/>
        <w:tblLook w:val="04A0" w:firstRow="1" w:lastRow="0" w:firstColumn="1" w:lastColumn="0" w:noHBand="0" w:noVBand="1"/>
      </w:tblPr>
      <w:tblGrid>
        <w:gridCol w:w="985"/>
        <w:gridCol w:w="5130"/>
        <w:gridCol w:w="3420"/>
      </w:tblGrid>
      <w:tr w:rsidR="009F7E50" w14:paraId="4E223EC5" w14:textId="77777777" w:rsidTr="00272753">
        <w:trPr>
          <w:trHeight w:val="656"/>
          <w:jc w:val="center"/>
        </w:trPr>
        <w:tc>
          <w:tcPr>
            <w:tcW w:w="985" w:type="dxa"/>
          </w:tcPr>
          <w:p w14:paraId="6C4843C6" w14:textId="5660EF02" w:rsidR="009F7E50" w:rsidRDefault="009F7E50" w:rsidP="008B3B1F">
            <w:pPr>
              <w:rPr>
                <w:rFonts w:ascii="Times New Roman" w:hAnsi="Times New Roman" w:cs="Times New Roman"/>
                <w:sz w:val="24"/>
                <w:szCs w:val="24"/>
              </w:rPr>
            </w:pPr>
            <w:r>
              <w:rPr>
                <w:rFonts w:ascii="Times New Roman" w:hAnsi="Times New Roman" w:cs="Times New Roman"/>
                <w:sz w:val="24"/>
                <w:szCs w:val="24"/>
              </w:rPr>
              <w:t>Year 1</w:t>
            </w:r>
          </w:p>
        </w:tc>
        <w:tc>
          <w:tcPr>
            <w:tcW w:w="5130" w:type="dxa"/>
          </w:tcPr>
          <w:p w14:paraId="2B5CFF17" w14:textId="4AB69631" w:rsidR="009F7E50" w:rsidRDefault="009F7E50" w:rsidP="008B3B1F">
            <w:pPr>
              <w:rPr>
                <w:rFonts w:ascii="Times New Roman" w:hAnsi="Times New Roman" w:cs="Times New Roman"/>
                <w:sz w:val="24"/>
                <w:szCs w:val="24"/>
              </w:rPr>
            </w:pPr>
            <w:r>
              <w:rPr>
                <w:rFonts w:ascii="Times New Roman" w:hAnsi="Times New Roman" w:cs="Times New Roman"/>
                <w:sz w:val="24"/>
                <w:szCs w:val="24"/>
              </w:rPr>
              <w:t>Planning, aligning courses, developing tools</w:t>
            </w:r>
          </w:p>
        </w:tc>
        <w:tc>
          <w:tcPr>
            <w:tcW w:w="3420" w:type="dxa"/>
            <w:vAlign w:val="center"/>
          </w:tcPr>
          <w:p w14:paraId="29B2DF03" w14:textId="6D62A282" w:rsidR="009F7E50" w:rsidRDefault="009F7E50" w:rsidP="00272753">
            <w:pPr>
              <w:jc w:val="center"/>
              <w:rPr>
                <w:rFonts w:ascii="Times New Roman" w:hAnsi="Times New Roman" w:cs="Times New Roman"/>
                <w:sz w:val="24"/>
                <w:szCs w:val="24"/>
              </w:rPr>
            </w:pPr>
            <w:r>
              <w:rPr>
                <w:rFonts w:ascii="Times New Roman" w:hAnsi="Times New Roman" w:cs="Times New Roman"/>
                <w:sz w:val="24"/>
                <w:szCs w:val="24"/>
              </w:rPr>
              <w:t xml:space="preserve">GEC, Academic Programs, </w:t>
            </w:r>
            <w:r w:rsidR="00272753">
              <w:rPr>
                <w:rFonts w:ascii="Times New Roman" w:hAnsi="Times New Roman" w:cs="Times New Roman"/>
                <w:sz w:val="24"/>
                <w:szCs w:val="24"/>
              </w:rPr>
              <w:t>UAS</w:t>
            </w:r>
          </w:p>
        </w:tc>
      </w:tr>
      <w:tr w:rsidR="009F7E50" w14:paraId="0F5FAA81" w14:textId="77777777" w:rsidTr="00272753">
        <w:trPr>
          <w:trHeight w:val="620"/>
          <w:jc w:val="center"/>
        </w:trPr>
        <w:tc>
          <w:tcPr>
            <w:tcW w:w="985" w:type="dxa"/>
          </w:tcPr>
          <w:p w14:paraId="12CEECC0" w14:textId="4E8DB2C3" w:rsidR="009F7E50" w:rsidRDefault="009F7E50" w:rsidP="008B3B1F">
            <w:pPr>
              <w:rPr>
                <w:rFonts w:ascii="Times New Roman" w:hAnsi="Times New Roman" w:cs="Times New Roman"/>
                <w:sz w:val="24"/>
                <w:szCs w:val="24"/>
              </w:rPr>
            </w:pPr>
            <w:r>
              <w:rPr>
                <w:rFonts w:ascii="Times New Roman" w:hAnsi="Times New Roman" w:cs="Times New Roman"/>
                <w:sz w:val="24"/>
                <w:szCs w:val="24"/>
              </w:rPr>
              <w:t>Year 2</w:t>
            </w:r>
          </w:p>
        </w:tc>
        <w:tc>
          <w:tcPr>
            <w:tcW w:w="5130" w:type="dxa"/>
          </w:tcPr>
          <w:p w14:paraId="275D4BC8" w14:textId="3ECB6C03" w:rsidR="009F7E50" w:rsidRDefault="009F7E50" w:rsidP="008B3B1F">
            <w:pPr>
              <w:rPr>
                <w:rFonts w:ascii="Times New Roman" w:hAnsi="Times New Roman" w:cs="Times New Roman"/>
                <w:sz w:val="24"/>
                <w:szCs w:val="24"/>
              </w:rPr>
            </w:pPr>
            <w:r>
              <w:rPr>
                <w:rFonts w:ascii="Times New Roman" w:hAnsi="Times New Roman" w:cs="Times New Roman"/>
                <w:sz w:val="24"/>
                <w:szCs w:val="24"/>
              </w:rPr>
              <w:t>Phase 1 – Assessment of Area B courses</w:t>
            </w:r>
          </w:p>
        </w:tc>
        <w:tc>
          <w:tcPr>
            <w:tcW w:w="3420" w:type="dxa"/>
            <w:vAlign w:val="center"/>
          </w:tcPr>
          <w:p w14:paraId="4130FCD1" w14:textId="42C168FE" w:rsidR="009F7E50" w:rsidRDefault="009F7E50" w:rsidP="00272753">
            <w:pPr>
              <w:jc w:val="center"/>
              <w:rPr>
                <w:rFonts w:ascii="Times New Roman" w:hAnsi="Times New Roman" w:cs="Times New Roman"/>
                <w:sz w:val="24"/>
                <w:szCs w:val="24"/>
              </w:rPr>
            </w:pPr>
            <w:r>
              <w:rPr>
                <w:rFonts w:ascii="Times New Roman" w:hAnsi="Times New Roman" w:cs="Times New Roman"/>
                <w:sz w:val="24"/>
                <w:szCs w:val="24"/>
              </w:rPr>
              <w:t xml:space="preserve">GEC, course faculty, </w:t>
            </w:r>
            <w:r w:rsidR="00272753">
              <w:rPr>
                <w:rFonts w:ascii="Times New Roman" w:hAnsi="Times New Roman" w:cs="Times New Roman"/>
                <w:sz w:val="24"/>
                <w:szCs w:val="24"/>
              </w:rPr>
              <w:t>UAS</w:t>
            </w:r>
          </w:p>
        </w:tc>
      </w:tr>
      <w:tr w:rsidR="009F7E50" w14:paraId="55B44966" w14:textId="77777777" w:rsidTr="00272753">
        <w:trPr>
          <w:trHeight w:val="611"/>
          <w:jc w:val="center"/>
        </w:trPr>
        <w:tc>
          <w:tcPr>
            <w:tcW w:w="985" w:type="dxa"/>
          </w:tcPr>
          <w:p w14:paraId="641CE2C4" w14:textId="79C0B89F" w:rsidR="009F7E50" w:rsidRDefault="009F7E50" w:rsidP="008B3B1F">
            <w:pPr>
              <w:rPr>
                <w:rFonts w:ascii="Times New Roman" w:hAnsi="Times New Roman" w:cs="Times New Roman"/>
                <w:sz w:val="24"/>
                <w:szCs w:val="24"/>
              </w:rPr>
            </w:pPr>
            <w:r>
              <w:rPr>
                <w:rFonts w:ascii="Times New Roman" w:hAnsi="Times New Roman" w:cs="Times New Roman"/>
                <w:sz w:val="24"/>
                <w:szCs w:val="24"/>
              </w:rPr>
              <w:t>Year 3</w:t>
            </w:r>
          </w:p>
        </w:tc>
        <w:tc>
          <w:tcPr>
            <w:tcW w:w="5130" w:type="dxa"/>
          </w:tcPr>
          <w:p w14:paraId="603ED329" w14:textId="3B596143" w:rsidR="009F7E50" w:rsidRDefault="009F7E50" w:rsidP="008B3B1F">
            <w:pPr>
              <w:rPr>
                <w:rFonts w:ascii="Times New Roman" w:hAnsi="Times New Roman" w:cs="Times New Roman"/>
                <w:sz w:val="24"/>
                <w:szCs w:val="24"/>
              </w:rPr>
            </w:pPr>
            <w:r>
              <w:rPr>
                <w:rFonts w:ascii="Times New Roman" w:hAnsi="Times New Roman" w:cs="Times New Roman"/>
                <w:sz w:val="24"/>
                <w:szCs w:val="24"/>
              </w:rPr>
              <w:t>Phase 2 – Assessment of Area C</w:t>
            </w:r>
            <w:r w:rsidR="00536DC1">
              <w:rPr>
                <w:rFonts w:ascii="Times New Roman" w:hAnsi="Times New Roman" w:cs="Times New Roman"/>
                <w:sz w:val="24"/>
                <w:szCs w:val="24"/>
              </w:rPr>
              <w:t xml:space="preserve"> &amp; E</w:t>
            </w:r>
            <w:r>
              <w:rPr>
                <w:rFonts w:ascii="Times New Roman" w:hAnsi="Times New Roman" w:cs="Times New Roman"/>
                <w:sz w:val="24"/>
                <w:szCs w:val="24"/>
              </w:rPr>
              <w:t xml:space="preserve"> courses</w:t>
            </w:r>
          </w:p>
          <w:p w14:paraId="4334531E" w14:textId="345915F5" w:rsidR="009F7E50" w:rsidRDefault="009F7E50" w:rsidP="008B3B1F">
            <w:pPr>
              <w:rPr>
                <w:rFonts w:ascii="Times New Roman" w:hAnsi="Times New Roman" w:cs="Times New Roman"/>
                <w:sz w:val="24"/>
                <w:szCs w:val="24"/>
              </w:rPr>
            </w:pPr>
            <w:r>
              <w:rPr>
                <w:rFonts w:ascii="Times New Roman" w:hAnsi="Times New Roman" w:cs="Times New Roman"/>
                <w:sz w:val="24"/>
                <w:szCs w:val="24"/>
              </w:rPr>
              <w:t>Phase 1 – Collect and aggregate data from Phase 1</w:t>
            </w:r>
          </w:p>
        </w:tc>
        <w:tc>
          <w:tcPr>
            <w:tcW w:w="3420" w:type="dxa"/>
            <w:vAlign w:val="center"/>
          </w:tcPr>
          <w:p w14:paraId="49657E8A" w14:textId="53E996FF" w:rsidR="009F7E50" w:rsidRDefault="009F7E50" w:rsidP="00272753">
            <w:pPr>
              <w:jc w:val="center"/>
              <w:rPr>
                <w:rFonts w:ascii="Times New Roman" w:hAnsi="Times New Roman" w:cs="Times New Roman"/>
                <w:sz w:val="24"/>
                <w:szCs w:val="24"/>
              </w:rPr>
            </w:pPr>
            <w:r>
              <w:rPr>
                <w:rFonts w:ascii="Times New Roman" w:hAnsi="Times New Roman" w:cs="Times New Roman"/>
                <w:sz w:val="24"/>
                <w:szCs w:val="24"/>
              </w:rPr>
              <w:t xml:space="preserve">GEC, course faculty, </w:t>
            </w:r>
            <w:r w:rsidR="00272753">
              <w:rPr>
                <w:rFonts w:ascii="Times New Roman" w:hAnsi="Times New Roman" w:cs="Times New Roman"/>
                <w:sz w:val="24"/>
                <w:szCs w:val="24"/>
              </w:rPr>
              <w:t>UAS</w:t>
            </w:r>
          </w:p>
        </w:tc>
      </w:tr>
      <w:tr w:rsidR="009F7E50" w14:paraId="2333DFFA" w14:textId="77777777" w:rsidTr="00272753">
        <w:trPr>
          <w:jc w:val="center"/>
        </w:trPr>
        <w:tc>
          <w:tcPr>
            <w:tcW w:w="985" w:type="dxa"/>
          </w:tcPr>
          <w:p w14:paraId="0070C306" w14:textId="0D280C1E" w:rsidR="009F7E50" w:rsidRDefault="009F7E50" w:rsidP="008B3B1F">
            <w:pPr>
              <w:rPr>
                <w:rFonts w:ascii="Times New Roman" w:hAnsi="Times New Roman" w:cs="Times New Roman"/>
                <w:sz w:val="24"/>
                <w:szCs w:val="24"/>
              </w:rPr>
            </w:pPr>
            <w:r>
              <w:rPr>
                <w:rFonts w:ascii="Times New Roman" w:hAnsi="Times New Roman" w:cs="Times New Roman"/>
                <w:sz w:val="24"/>
                <w:szCs w:val="24"/>
              </w:rPr>
              <w:t>Year 4</w:t>
            </w:r>
          </w:p>
        </w:tc>
        <w:tc>
          <w:tcPr>
            <w:tcW w:w="5130" w:type="dxa"/>
          </w:tcPr>
          <w:p w14:paraId="11BF4041" w14:textId="7DD748DE" w:rsidR="009F7E50" w:rsidRDefault="009F7E50" w:rsidP="008B3B1F">
            <w:pPr>
              <w:rPr>
                <w:rFonts w:ascii="Times New Roman" w:hAnsi="Times New Roman" w:cs="Times New Roman"/>
                <w:sz w:val="24"/>
                <w:szCs w:val="24"/>
              </w:rPr>
            </w:pPr>
            <w:r>
              <w:rPr>
                <w:rFonts w:ascii="Times New Roman" w:hAnsi="Times New Roman" w:cs="Times New Roman"/>
                <w:sz w:val="24"/>
                <w:szCs w:val="24"/>
              </w:rPr>
              <w:t xml:space="preserve">Phase 3 – Assessment of Area </w:t>
            </w:r>
            <w:r w:rsidR="00536DC1">
              <w:rPr>
                <w:rFonts w:ascii="Times New Roman" w:hAnsi="Times New Roman" w:cs="Times New Roman"/>
                <w:sz w:val="24"/>
                <w:szCs w:val="24"/>
              </w:rPr>
              <w:t>A</w:t>
            </w:r>
            <w:r>
              <w:rPr>
                <w:rFonts w:ascii="Times New Roman" w:hAnsi="Times New Roman" w:cs="Times New Roman"/>
                <w:sz w:val="24"/>
                <w:szCs w:val="24"/>
              </w:rPr>
              <w:t xml:space="preserve"> </w:t>
            </w:r>
            <w:r w:rsidR="00536DC1">
              <w:rPr>
                <w:rFonts w:ascii="Times New Roman" w:hAnsi="Times New Roman" w:cs="Times New Roman"/>
                <w:sz w:val="24"/>
                <w:szCs w:val="24"/>
              </w:rPr>
              <w:t xml:space="preserve">&amp; D </w:t>
            </w:r>
            <w:r>
              <w:rPr>
                <w:rFonts w:ascii="Times New Roman" w:hAnsi="Times New Roman" w:cs="Times New Roman"/>
                <w:sz w:val="24"/>
                <w:szCs w:val="24"/>
              </w:rPr>
              <w:t>courses</w:t>
            </w:r>
          </w:p>
          <w:p w14:paraId="497ECAEA" w14:textId="77777777" w:rsidR="009F7E50" w:rsidRDefault="009F7E50" w:rsidP="008B3B1F">
            <w:pPr>
              <w:rPr>
                <w:rFonts w:ascii="Times New Roman" w:hAnsi="Times New Roman" w:cs="Times New Roman"/>
                <w:sz w:val="24"/>
                <w:szCs w:val="24"/>
              </w:rPr>
            </w:pPr>
            <w:r>
              <w:rPr>
                <w:rFonts w:ascii="Times New Roman" w:hAnsi="Times New Roman" w:cs="Times New Roman"/>
                <w:sz w:val="24"/>
                <w:szCs w:val="24"/>
              </w:rPr>
              <w:t>Phase 2 – Collect and aggregate data from Phase 2</w:t>
            </w:r>
          </w:p>
          <w:p w14:paraId="1A795C9B" w14:textId="77777777" w:rsidR="00536DC1" w:rsidRDefault="009F7E50" w:rsidP="008B3B1F">
            <w:pPr>
              <w:rPr>
                <w:rFonts w:ascii="Times New Roman" w:hAnsi="Times New Roman" w:cs="Times New Roman"/>
                <w:sz w:val="24"/>
                <w:szCs w:val="24"/>
              </w:rPr>
            </w:pPr>
            <w:r>
              <w:rPr>
                <w:rFonts w:ascii="Times New Roman" w:hAnsi="Times New Roman" w:cs="Times New Roman"/>
                <w:sz w:val="24"/>
                <w:szCs w:val="24"/>
              </w:rPr>
              <w:t>Phase 1 – Implement any recommended changes</w:t>
            </w:r>
            <w:r w:rsidR="00536DC1">
              <w:rPr>
                <w:rFonts w:ascii="Times New Roman" w:hAnsi="Times New Roman" w:cs="Times New Roman"/>
                <w:sz w:val="24"/>
                <w:szCs w:val="24"/>
              </w:rPr>
              <w:t xml:space="preserve"> to </w:t>
            </w:r>
          </w:p>
          <w:p w14:paraId="00F65F0D" w14:textId="523C69F5" w:rsidR="009F7E50" w:rsidRDefault="00536DC1" w:rsidP="008B3B1F">
            <w:pPr>
              <w:rPr>
                <w:rFonts w:ascii="Times New Roman" w:hAnsi="Times New Roman" w:cs="Times New Roman"/>
                <w:sz w:val="24"/>
                <w:szCs w:val="24"/>
              </w:rPr>
            </w:pPr>
            <w:r>
              <w:rPr>
                <w:rFonts w:ascii="Times New Roman" w:hAnsi="Times New Roman" w:cs="Times New Roman"/>
                <w:sz w:val="24"/>
                <w:szCs w:val="24"/>
              </w:rPr>
              <w:t xml:space="preserve">                Phase 1</w:t>
            </w:r>
          </w:p>
        </w:tc>
        <w:tc>
          <w:tcPr>
            <w:tcW w:w="3420" w:type="dxa"/>
            <w:vAlign w:val="center"/>
          </w:tcPr>
          <w:p w14:paraId="06A92D1A" w14:textId="69A2151D" w:rsidR="009F7E50" w:rsidRDefault="00536DC1" w:rsidP="00272753">
            <w:pPr>
              <w:jc w:val="center"/>
              <w:rPr>
                <w:rFonts w:ascii="Times New Roman" w:hAnsi="Times New Roman" w:cs="Times New Roman"/>
                <w:sz w:val="24"/>
                <w:szCs w:val="24"/>
              </w:rPr>
            </w:pPr>
            <w:r>
              <w:rPr>
                <w:rFonts w:ascii="Times New Roman" w:hAnsi="Times New Roman" w:cs="Times New Roman"/>
                <w:sz w:val="24"/>
                <w:szCs w:val="24"/>
              </w:rPr>
              <w:t xml:space="preserve">GEC, course faculty, Dept/College curriculum committees, </w:t>
            </w:r>
            <w:r w:rsidR="00272753">
              <w:rPr>
                <w:rFonts w:ascii="Times New Roman" w:hAnsi="Times New Roman" w:cs="Times New Roman"/>
                <w:sz w:val="24"/>
                <w:szCs w:val="24"/>
              </w:rPr>
              <w:t>UAS</w:t>
            </w:r>
          </w:p>
        </w:tc>
      </w:tr>
      <w:tr w:rsidR="009F7E50" w14:paraId="3235D609" w14:textId="77777777" w:rsidTr="00272753">
        <w:trPr>
          <w:jc w:val="center"/>
        </w:trPr>
        <w:tc>
          <w:tcPr>
            <w:tcW w:w="985" w:type="dxa"/>
          </w:tcPr>
          <w:p w14:paraId="18243464" w14:textId="5645208F" w:rsidR="009F7E50" w:rsidRDefault="00536DC1" w:rsidP="008B3B1F">
            <w:pPr>
              <w:rPr>
                <w:rFonts w:ascii="Times New Roman" w:hAnsi="Times New Roman" w:cs="Times New Roman"/>
                <w:sz w:val="24"/>
                <w:szCs w:val="24"/>
              </w:rPr>
            </w:pPr>
            <w:r>
              <w:rPr>
                <w:rFonts w:ascii="Times New Roman" w:hAnsi="Times New Roman" w:cs="Times New Roman"/>
                <w:sz w:val="24"/>
                <w:szCs w:val="24"/>
              </w:rPr>
              <w:t>Year 5</w:t>
            </w:r>
          </w:p>
        </w:tc>
        <w:tc>
          <w:tcPr>
            <w:tcW w:w="5130" w:type="dxa"/>
          </w:tcPr>
          <w:p w14:paraId="456EDD2A" w14:textId="77777777" w:rsidR="009F7E50" w:rsidRDefault="00536DC1" w:rsidP="008B3B1F">
            <w:pPr>
              <w:rPr>
                <w:rFonts w:ascii="Times New Roman" w:hAnsi="Times New Roman" w:cs="Times New Roman"/>
                <w:sz w:val="24"/>
                <w:szCs w:val="24"/>
              </w:rPr>
            </w:pPr>
            <w:r>
              <w:rPr>
                <w:rFonts w:ascii="Times New Roman" w:hAnsi="Times New Roman" w:cs="Times New Roman"/>
                <w:sz w:val="24"/>
                <w:szCs w:val="24"/>
              </w:rPr>
              <w:t>Phase 1 – Re-assess changes in Area B courses</w:t>
            </w:r>
          </w:p>
          <w:p w14:paraId="471371CC" w14:textId="7571EA04" w:rsidR="00536DC1" w:rsidRDefault="00536DC1" w:rsidP="008B3B1F">
            <w:pPr>
              <w:rPr>
                <w:rFonts w:ascii="Times New Roman" w:hAnsi="Times New Roman" w:cs="Times New Roman"/>
                <w:sz w:val="24"/>
                <w:szCs w:val="24"/>
              </w:rPr>
            </w:pPr>
            <w:r>
              <w:rPr>
                <w:rFonts w:ascii="Times New Roman" w:hAnsi="Times New Roman" w:cs="Times New Roman"/>
                <w:sz w:val="24"/>
                <w:szCs w:val="24"/>
              </w:rPr>
              <w:t>Phase 1 – Assessment of Area B courses (next sample)</w:t>
            </w:r>
          </w:p>
          <w:p w14:paraId="1D21884C" w14:textId="77777777" w:rsidR="00536DC1" w:rsidRDefault="00536DC1" w:rsidP="008B3B1F">
            <w:pPr>
              <w:rPr>
                <w:rFonts w:ascii="Times New Roman" w:hAnsi="Times New Roman" w:cs="Times New Roman"/>
                <w:sz w:val="24"/>
                <w:szCs w:val="24"/>
              </w:rPr>
            </w:pPr>
            <w:r>
              <w:rPr>
                <w:rFonts w:ascii="Times New Roman" w:hAnsi="Times New Roman" w:cs="Times New Roman"/>
                <w:sz w:val="24"/>
                <w:szCs w:val="24"/>
              </w:rPr>
              <w:t>Phase 3 – Collect and aggregate data from Phase 3</w:t>
            </w:r>
          </w:p>
          <w:p w14:paraId="5C92ADD5" w14:textId="77777777" w:rsidR="00536DC1" w:rsidRDefault="00536DC1" w:rsidP="008B3B1F">
            <w:pPr>
              <w:rPr>
                <w:rFonts w:ascii="Times New Roman" w:hAnsi="Times New Roman" w:cs="Times New Roman"/>
                <w:sz w:val="24"/>
                <w:szCs w:val="24"/>
              </w:rPr>
            </w:pPr>
            <w:r>
              <w:rPr>
                <w:rFonts w:ascii="Times New Roman" w:hAnsi="Times New Roman" w:cs="Times New Roman"/>
                <w:sz w:val="24"/>
                <w:szCs w:val="24"/>
              </w:rPr>
              <w:t xml:space="preserve">Phase 2 – Implement any recommended changes to     </w:t>
            </w:r>
          </w:p>
          <w:p w14:paraId="3FFA8E09" w14:textId="2F4AF00C" w:rsidR="00536DC1" w:rsidRDefault="00536DC1" w:rsidP="008B3B1F">
            <w:pPr>
              <w:rPr>
                <w:rFonts w:ascii="Times New Roman" w:hAnsi="Times New Roman" w:cs="Times New Roman"/>
                <w:sz w:val="24"/>
                <w:szCs w:val="24"/>
              </w:rPr>
            </w:pPr>
            <w:r>
              <w:rPr>
                <w:rFonts w:ascii="Times New Roman" w:hAnsi="Times New Roman" w:cs="Times New Roman"/>
                <w:sz w:val="24"/>
                <w:szCs w:val="24"/>
              </w:rPr>
              <w:t xml:space="preserve">                Phase 2</w:t>
            </w:r>
          </w:p>
        </w:tc>
        <w:tc>
          <w:tcPr>
            <w:tcW w:w="3420" w:type="dxa"/>
            <w:vAlign w:val="center"/>
          </w:tcPr>
          <w:p w14:paraId="0A27C178" w14:textId="72C60878" w:rsidR="009F7E50" w:rsidRDefault="00536DC1" w:rsidP="00272753">
            <w:pPr>
              <w:jc w:val="center"/>
              <w:rPr>
                <w:rFonts w:ascii="Times New Roman" w:hAnsi="Times New Roman" w:cs="Times New Roman"/>
                <w:sz w:val="24"/>
                <w:szCs w:val="24"/>
              </w:rPr>
            </w:pPr>
            <w:r>
              <w:rPr>
                <w:rFonts w:ascii="Times New Roman" w:hAnsi="Times New Roman" w:cs="Times New Roman"/>
                <w:sz w:val="24"/>
                <w:szCs w:val="24"/>
              </w:rPr>
              <w:t xml:space="preserve">GEC, course faculty, Dept/College curriculum committees, </w:t>
            </w:r>
            <w:r w:rsidR="00272753">
              <w:rPr>
                <w:rFonts w:ascii="Times New Roman" w:hAnsi="Times New Roman" w:cs="Times New Roman"/>
                <w:sz w:val="24"/>
                <w:szCs w:val="24"/>
              </w:rPr>
              <w:t>UAS</w:t>
            </w:r>
          </w:p>
        </w:tc>
      </w:tr>
    </w:tbl>
    <w:p w14:paraId="622EA05A" w14:textId="2A769D22" w:rsidR="009F7E50" w:rsidRPr="009F7E50" w:rsidRDefault="009F7E50" w:rsidP="008B3B1F">
      <w:pPr>
        <w:spacing w:line="240" w:lineRule="auto"/>
        <w:rPr>
          <w:rFonts w:ascii="Times New Roman" w:hAnsi="Times New Roman" w:cs="Times New Roman"/>
          <w:sz w:val="24"/>
          <w:szCs w:val="24"/>
        </w:rPr>
      </w:pPr>
    </w:p>
    <w:p w14:paraId="53F3D50D" w14:textId="77777777" w:rsidR="00047AD5" w:rsidRDefault="00047AD5" w:rsidP="008B3B1F">
      <w:pPr>
        <w:spacing w:line="240" w:lineRule="auto"/>
        <w:rPr>
          <w:rFonts w:ascii="Times New Roman" w:hAnsi="Times New Roman" w:cs="Times New Roman"/>
          <w:b/>
          <w:i/>
          <w:sz w:val="24"/>
          <w:szCs w:val="24"/>
        </w:rPr>
      </w:pPr>
    </w:p>
    <w:p w14:paraId="4C4125EB" w14:textId="77777777" w:rsidR="00047AD5" w:rsidRDefault="00047AD5" w:rsidP="008B3B1F">
      <w:pPr>
        <w:spacing w:line="240" w:lineRule="auto"/>
        <w:rPr>
          <w:rFonts w:ascii="Times New Roman" w:hAnsi="Times New Roman" w:cs="Times New Roman"/>
          <w:b/>
          <w:i/>
          <w:sz w:val="24"/>
          <w:szCs w:val="24"/>
        </w:rPr>
      </w:pPr>
    </w:p>
    <w:p w14:paraId="35C77B80" w14:textId="77777777" w:rsidR="00EC1FC1" w:rsidRDefault="00EC1FC1" w:rsidP="008B3B1F">
      <w:pPr>
        <w:spacing w:line="240" w:lineRule="auto"/>
        <w:rPr>
          <w:rFonts w:ascii="Times New Roman" w:hAnsi="Times New Roman" w:cs="Times New Roman"/>
          <w:b/>
          <w:i/>
          <w:sz w:val="24"/>
          <w:szCs w:val="24"/>
        </w:rPr>
      </w:pPr>
    </w:p>
    <w:p w14:paraId="40D9B4A4" w14:textId="77777777" w:rsidR="00EC1FC1" w:rsidRDefault="00EC1FC1" w:rsidP="008B3B1F">
      <w:pPr>
        <w:spacing w:line="240" w:lineRule="auto"/>
        <w:rPr>
          <w:rFonts w:ascii="Times New Roman" w:hAnsi="Times New Roman" w:cs="Times New Roman"/>
          <w:b/>
          <w:i/>
          <w:sz w:val="24"/>
          <w:szCs w:val="24"/>
        </w:rPr>
      </w:pPr>
    </w:p>
    <w:p w14:paraId="7A588C2C" w14:textId="77777777" w:rsidR="00047AD5" w:rsidRDefault="00047AD5" w:rsidP="008B3B1F">
      <w:pPr>
        <w:spacing w:line="240" w:lineRule="auto"/>
        <w:rPr>
          <w:rFonts w:ascii="Times New Roman" w:hAnsi="Times New Roman" w:cs="Times New Roman"/>
          <w:b/>
          <w:i/>
          <w:sz w:val="24"/>
          <w:szCs w:val="24"/>
        </w:rPr>
      </w:pPr>
    </w:p>
    <w:p w14:paraId="4CCFDED1" w14:textId="458917A3" w:rsidR="007100F4" w:rsidRDefault="00A948F5" w:rsidP="008B3B1F">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6.1.3 </w:t>
      </w:r>
      <w:r w:rsidR="007C175F">
        <w:rPr>
          <w:rFonts w:ascii="Times New Roman" w:hAnsi="Times New Roman" w:cs="Times New Roman"/>
          <w:b/>
          <w:i/>
          <w:sz w:val="24"/>
          <w:szCs w:val="24"/>
        </w:rPr>
        <w:t xml:space="preserve">Other </w:t>
      </w:r>
      <w:r w:rsidR="007100F4" w:rsidRPr="00886D43">
        <w:rPr>
          <w:rFonts w:ascii="Times New Roman" w:hAnsi="Times New Roman" w:cs="Times New Roman"/>
          <w:b/>
          <w:i/>
          <w:sz w:val="24"/>
          <w:szCs w:val="24"/>
        </w:rPr>
        <w:t xml:space="preserve">Assessment </w:t>
      </w:r>
      <w:r w:rsidR="00886D43" w:rsidRPr="00886D43">
        <w:rPr>
          <w:rFonts w:ascii="Times New Roman" w:hAnsi="Times New Roman" w:cs="Times New Roman"/>
          <w:b/>
          <w:i/>
          <w:sz w:val="24"/>
          <w:szCs w:val="24"/>
        </w:rPr>
        <w:t xml:space="preserve">Activities </w:t>
      </w:r>
      <w:r w:rsidR="00AF0159">
        <w:rPr>
          <w:rFonts w:ascii="Times New Roman" w:hAnsi="Times New Roman" w:cs="Times New Roman"/>
          <w:b/>
          <w:i/>
          <w:sz w:val="24"/>
          <w:szCs w:val="24"/>
        </w:rPr>
        <w:t>(CFR 2.11)</w:t>
      </w:r>
    </w:p>
    <w:p w14:paraId="6FF56668" w14:textId="1A3DE72B" w:rsidR="000A76D1" w:rsidRDefault="00A948F5" w:rsidP="000A76D1">
      <w:pPr>
        <w:pStyle w:val="ColorfulList-Accent11"/>
        <w:ind w:left="0"/>
      </w:pPr>
      <w:r>
        <w:rPr>
          <w:u w:val="single"/>
        </w:rPr>
        <w:t xml:space="preserve">6.1.3.1 </w:t>
      </w:r>
      <w:r w:rsidR="007C175F" w:rsidRPr="00F25251">
        <w:rPr>
          <w:u w:val="single"/>
        </w:rPr>
        <w:t>Student Affairs</w:t>
      </w:r>
      <w:r w:rsidR="00F25251">
        <w:rPr>
          <w:u w:val="single"/>
        </w:rPr>
        <w:t xml:space="preserve"> - </w:t>
      </w:r>
      <w:r w:rsidR="007C175F" w:rsidRPr="007C175F">
        <w:t>To enhance the partnership between academic coursework and co-curricular programming offered through Student Life &amp; Leadership, A</w:t>
      </w:r>
      <w:r w:rsidR="007C175F">
        <w:t xml:space="preserve">ssociated </w:t>
      </w:r>
      <w:r w:rsidR="007C175F" w:rsidRPr="007C175F">
        <w:t>S</w:t>
      </w:r>
      <w:r w:rsidR="007C175F">
        <w:t xml:space="preserve">tudents, </w:t>
      </w:r>
      <w:r w:rsidR="007C175F" w:rsidRPr="007C175F">
        <w:t>I</w:t>
      </w:r>
      <w:r w:rsidR="007C175F">
        <w:t>nc.</w:t>
      </w:r>
      <w:r w:rsidR="007C175F" w:rsidRPr="007C175F">
        <w:t>, and Residential Education programs, a Co-Curricular Model (CCM) was developed in 2012</w:t>
      </w:r>
      <w:r w:rsidR="000A76D1">
        <w:t xml:space="preserve"> and implemented in 2013</w:t>
      </w:r>
      <w:r w:rsidR="007C175F" w:rsidRPr="007C175F">
        <w:t xml:space="preserve"> </w:t>
      </w:r>
      <w:r w:rsidR="000A76D1">
        <w:t>a</w:t>
      </w:r>
      <w:r w:rsidR="007C175F" w:rsidRPr="007C175F">
        <w:t>fter being vetted through various campus constituent groups</w:t>
      </w:r>
      <w:r w:rsidR="000A76D1">
        <w:t>. T</w:t>
      </w:r>
      <w:r w:rsidR="000A76D1" w:rsidRPr="007C175F">
        <w:t xml:space="preserve">he </w:t>
      </w:r>
      <w:r w:rsidR="000A76D1">
        <w:t>CCM</w:t>
      </w:r>
      <w:r w:rsidR="000A76D1" w:rsidRPr="007C175F">
        <w:t xml:space="preserve"> identifies five learning competencies which guide the development and assessment of co-curricular programming: </w:t>
      </w:r>
      <w:r w:rsidR="000A76D1">
        <w:br/>
      </w:r>
    </w:p>
    <w:p w14:paraId="3466A6FB" w14:textId="77777777" w:rsidR="000A76D1" w:rsidRDefault="000A76D1" w:rsidP="000A76D1">
      <w:pPr>
        <w:pStyle w:val="ColorfulList-Accent11"/>
        <w:numPr>
          <w:ilvl w:val="0"/>
          <w:numId w:val="8"/>
        </w:numPr>
      </w:pPr>
      <w:r w:rsidRPr="007C175F">
        <w:t>Civic Engagement &amp; Social Responsibility</w:t>
      </w:r>
    </w:p>
    <w:p w14:paraId="6120C71E" w14:textId="77777777" w:rsidR="000A76D1" w:rsidRDefault="000A76D1" w:rsidP="000A76D1">
      <w:pPr>
        <w:pStyle w:val="ColorfulList-Accent11"/>
        <w:numPr>
          <w:ilvl w:val="0"/>
          <w:numId w:val="8"/>
        </w:numPr>
      </w:pPr>
      <w:r w:rsidRPr="007C175F">
        <w:t>Leadership &amp; Interpersonal Development</w:t>
      </w:r>
    </w:p>
    <w:p w14:paraId="4183C53B" w14:textId="77777777" w:rsidR="000A76D1" w:rsidRDefault="000A76D1" w:rsidP="000A76D1">
      <w:pPr>
        <w:pStyle w:val="ColorfulList-Accent11"/>
        <w:numPr>
          <w:ilvl w:val="0"/>
          <w:numId w:val="8"/>
        </w:numPr>
      </w:pPr>
      <w:r w:rsidRPr="007C175F">
        <w:t>Career &amp; Professional Development</w:t>
      </w:r>
    </w:p>
    <w:p w14:paraId="77324185" w14:textId="77777777" w:rsidR="000A76D1" w:rsidRDefault="000A76D1" w:rsidP="000A76D1">
      <w:pPr>
        <w:pStyle w:val="ColorfulList-Accent11"/>
        <w:numPr>
          <w:ilvl w:val="0"/>
          <w:numId w:val="8"/>
        </w:numPr>
      </w:pPr>
      <w:r w:rsidRPr="007C175F">
        <w:t>Critical Thinking &amp; Ethical Reasoning</w:t>
      </w:r>
    </w:p>
    <w:p w14:paraId="5E088A65" w14:textId="77777777" w:rsidR="000A76D1" w:rsidRDefault="000A76D1" w:rsidP="000A76D1">
      <w:pPr>
        <w:pStyle w:val="ColorfulList-Accent11"/>
        <w:numPr>
          <w:ilvl w:val="0"/>
          <w:numId w:val="8"/>
        </w:numPr>
      </w:pPr>
      <w:r w:rsidRPr="007C175F">
        <w:t xml:space="preserve">Holistic Wellness. </w:t>
      </w:r>
    </w:p>
    <w:p w14:paraId="08B220EF" w14:textId="77777777" w:rsidR="000A76D1" w:rsidRDefault="000A76D1" w:rsidP="000A76D1">
      <w:pPr>
        <w:pStyle w:val="ColorfulList-Accent11"/>
        <w:ind w:left="0"/>
      </w:pPr>
    </w:p>
    <w:p w14:paraId="55E19711" w14:textId="542A3474" w:rsidR="00F25251" w:rsidRDefault="000A76D1" w:rsidP="00F25251">
      <w:pPr>
        <w:pStyle w:val="ColorfulList-Accent11"/>
        <w:ind w:left="0"/>
      </w:pPr>
      <w:r>
        <w:t xml:space="preserve">These competencies are built </w:t>
      </w:r>
      <w:r w:rsidR="007C175F" w:rsidRPr="007C175F">
        <w:t>upon the AACU LEAP initiative</w:t>
      </w:r>
      <w:r>
        <w:t xml:space="preserve"> and co</w:t>
      </w:r>
      <w:r w:rsidR="007C175F" w:rsidRPr="007C175F">
        <w:t xml:space="preserve">mpliment the CSUSM General Education Learning Outcomes, which </w:t>
      </w:r>
      <w:r>
        <w:t>a</w:t>
      </w:r>
      <w:r w:rsidR="007C175F" w:rsidRPr="007C175F">
        <w:t xml:space="preserve">re also informed by the LEAP initiative. To assess the impact of the CCM in the aggregate, relevant survey items from the 2011 and 2012 NSSE, CIRP Freshmen and Senior Surveys, and NCHA II surveys were identified and form a baseline benchmark for ongoing longitudinal analysis (see </w:t>
      </w:r>
      <w:r w:rsidR="00125D5B">
        <w:t>Appendix 6.x</w:t>
      </w:r>
      <w:r w:rsidR="007C175F" w:rsidRPr="007C175F">
        <w:t xml:space="preserve"> item).</w:t>
      </w:r>
      <w:r>
        <w:t xml:space="preserve"> </w:t>
      </w:r>
    </w:p>
    <w:p w14:paraId="7AF3DAEE" w14:textId="77777777" w:rsidR="00EC1FC1" w:rsidRDefault="00EC1FC1" w:rsidP="00F25251">
      <w:pPr>
        <w:pStyle w:val="ColorfulList-Accent11"/>
        <w:ind w:left="0"/>
      </w:pPr>
    </w:p>
    <w:p w14:paraId="06E756B7" w14:textId="77777777" w:rsidR="00E5061F" w:rsidRPr="00624EFD" w:rsidRDefault="00E5061F" w:rsidP="00E5061F">
      <w:pPr>
        <w:pStyle w:val="ColorfulList-Accent11"/>
        <w:ind w:left="0"/>
      </w:pPr>
      <w:r w:rsidRPr="00624EFD">
        <w:rPr>
          <w:u w:val="single"/>
        </w:rPr>
        <w:t xml:space="preserve">6.1.3.2 First-year Programs </w:t>
      </w:r>
      <w:r w:rsidRPr="00624EFD">
        <w:t>– The Office of First-Year Programs (FYP) designs, implements and supports programs to help first-year students achieve academic excellence in the classroom and develop a deeper understanding of, and commitment to, long-term academic goals. They are dedicated to helping students make a successful transition from the high school classroom to the academic world of higher education.  The current goals of FYP is to have first-year students:</w:t>
      </w:r>
    </w:p>
    <w:p w14:paraId="73F66140" w14:textId="77777777" w:rsidR="00E5061F" w:rsidRPr="00624EFD" w:rsidRDefault="00E5061F" w:rsidP="00E50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24EFD">
        <w:rPr>
          <w:rFonts w:ascii="Times New Roman" w:eastAsia="Times New Roman" w:hAnsi="Times New Roman" w:cs="Times New Roman"/>
          <w:sz w:val="24"/>
          <w:szCs w:val="24"/>
        </w:rPr>
        <w:t>Develop the foundational academic skills necessary to thrive in the Cal State San Marcos lower-division curriculum</w:t>
      </w:r>
    </w:p>
    <w:p w14:paraId="4DFDCBFC" w14:textId="38406E3D" w:rsidR="00E5061F" w:rsidRPr="00624EFD" w:rsidRDefault="00E5061F" w:rsidP="00E50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24EFD">
        <w:rPr>
          <w:rFonts w:ascii="Times New Roman" w:eastAsia="Times New Roman" w:hAnsi="Times New Roman" w:cs="Times New Roman"/>
          <w:sz w:val="24"/>
          <w:szCs w:val="24"/>
        </w:rPr>
        <w:t>Understand university graduation requirements, including the All-</w:t>
      </w:r>
      <w:r>
        <w:rPr>
          <w:rFonts w:ascii="Times New Roman" w:eastAsia="Times New Roman" w:hAnsi="Times New Roman" w:cs="Times New Roman"/>
          <w:sz w:val="24"/>
          <w:szCs w:val="24"/>
        </w:rPr>
        <w:t xml:space="preserve">University Writing Requirement </w:t>
      </w:r>
      <w:r w:rsidRPr="00624EFD">
        <w:rPr>
          <w:rFonts w:ascii="Times New Roman" w:eastAsia="Times New Roman" w:hAnsi="Times New Roman" w:cs="Times New Roman"/>
          <w:sz w:val="24"/>
          <w:szCs w:val="24"/>
        </w:rPr>
        <w:t>and Language Other Than English Requirement.</w:t>
      </w:r>
    </w:p>
    <w:p w14:paraId="1C876694" w14:textId="77777777" w:rsidR="00E5061F" w:rsidRPr="00624EFD" w:rsidRDefault="00E5061F" w:rsidP="00E50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24EFD">
        <w:rPr>
          <w:rFonts w:ascii="Times New Roman" w:eastAsia="Times New Roman" w:hAnsi="Times New Roman" w:cs="Times New Roman"/>
          <w:sz w:val="24"/>
          <w:szCs w:val="24"/>
        </w:rPr>
        <w:t>Satisfy the CSU English Proficiency Requirement, CSU Mathematics Proficiency Requirement, and the Cal State San Marcos Computer Competency Requirement by the end of their first year.</w:t>
      </w:r>
    </w:p>
    <w:p w14:paraId="1177020D" w14:textId="6756C003" w:rsidR="00E5061F" w:rsidRPr="00624EFD" w:rsidRDefault="00E5061F" w:rsidP="00E50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24EFD">
        <w:rPr>
          <w:rFonts w:ascii="Times New Roman" w:eastAsia="Times New Roman" w:hAnsi="Times New Roman" w:cs="Times New Roman"/>
          <w:sz w:val="24"/>
          <w:szCs w:val="24"/>
        </w:rPr>
        <w:t>Develop and commit to a specific academic plan</w:t>
      </w:r>
    </w:p>
    <w:p w14:paraId="1D966EBD" w14:textId="77777777" w:rsidR="00E5061F" w:rsidRPr="00624EFD" w:rsidRDefault="00E5061F" w:rsidP="00E50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24EFD">
        <w:rPr>
          <w:rFonts w:ascii="Times New Roman" w:eastAsia="Times New Roman" w:hAnsi="Times New Roman" w:cs="Times New Roman"/>
          <w:sz w:val="24"/>
          <w:szCs w:val="24"/>
        </w:rPr>
        <w:t>Develop greater participation in the campus community and an increased sense of connection to fellow first-year students and faculty</w:t>
      </w:r>
    </w:p>
    <w:p w14:paraId="2F22FD1C" w14:textId="77777777" w:rsidR="00E5061F" w:rsidRPr="00624EFD" w:rsidRDefault="00E5061F" w:rsidP="00E5061F">
      <w:pPr>
        <w:spacing w:before="100" w:beforeAutospacing="1" w:after="100" w:afterAutospacing="1" w:line="240" w:lineRule="auto"/>
        <w:rPr>
          <w:rFonts w:ascii="Times New Roman" w:eastAsia="Times New Roman" w:hAnsi="Times New Roman" w:cs="Times New Roman"/>
          <w:sz w:val="24"/>
          <w:szCs w:val="24"/>
        </w:rPr>
      </w:pPr>
      <w:r w:rsidRPr="00624EFD">
        <w:rPr>
          <w:rFonts w:ascii="Times New Roman" w:eastAsia="Times New Roman" w:hAnsi="Times New Roman" w:cs="Times New Roman"/>
          <w:sz w:val="24"/>
          <w:szCs w:val="24"/>
        </w:rPr>
        <w:t xml:space="preserve">To support these goals, FYP administers an array of programs to support student learning and the professional development of instructors who teach first-year students. This includes comprehensive college success courses such as GEL 101 (The Student, The University, </w:t>
      </w:r>
      <w:bookmarkStart w:id="0" w:name="_GoBack"/>
      <w:bookmarkEnd w:id="0"/>
      <w:r w:rsidRPr="00624EFD">
        <w:rPr>
          <w:rFonts w:ascii="Times New Roman" w:eastAsia="Times New Roman" w:hAnsi="Times New Roman" w:cs="Times New Roman"/>
          <w:sz w:val="24"/>
          <w:szCs w:val="24"/>
        </w:rPr>
        <w:t xml:space="preserve">The Community), summer proficiency programs, an annual professional development conference for instructors teaching first-year students, and a growing number of First-Year Student Learning Communities.  FYP works closely with the office of Institutional Planning and Analysis (IPA – discussed in 6.3.1) to assess the effectiveness of many of their activities.  These programs have </w:t>
      </w:r>
      <w:r w:rsidRPr="00624EFD">
        <w:rPr>
          <w:rFonts w:ascii="Times New Roman" w:eastAsia="Times New Roman" w:hAnsi="Times New Roman" w:cs="Times New Roman"/>
          <w:sz w:val="24"/>
          <w:szCs w:val="24"/>
        </w:rPr>
        <w:lastRenderedPageBreak/>
        <w:t>been very successful in increasing retention rates, especially among first-generation students and under-represented minorities (Appendix 6.x ; Fig. 6.x).  Based on the assessment data, and student and faculty feedback, GEL has been encouraged to continue growing and to develop specialized sections and learning communities to serve specific groups of FTF.</w:t>
      </w:r>
    </w:p>
    <w:p w14:paraId="13807609" w14:textId="6F1E906E" w:rsidR="00460010" w:rsidRPr="009518CC" w:rsidRDefault="00C15DF5" w:rsidP="00E5061F">
      <w:pPr>
        <w:pStyle w:val="ColorfulList-Accent11"/>
        <w:ind w:left="0"/>
      </w:pPr>
      <w:r w:rsidRPr="009518CC">
        <w:rPr>
          <w:noProof/>
        </w:rPr>
        <w:drawing>
          <wp:inline distT="0" distB="0" distL="0" distR="0" wp14:anchorId="64352F56" wp14:editId="3175E4B6">
            <wp:extent cx="4911178" cy="362684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9058" cy="3632665"/>
                    </a:xfrm>
                    <a:prstGeom prst="rect">
                      <a:avLst/>
                    </a:prstGeom>
                    <a:noFill/>
                  </pic:spPr>
                </pic:pic>
              </a:graphicData>
            </a:graphic>
          </wp:inline>
        </w:drawing>
      </w:r>
    </w:p>
    <w:p w14:paraId="5C0DCC01" w14:textId="681A917C" w:rsidR="00F25251" w:rsidRDefault="00353619" w:rsidP="00C15DF5">
      <w:pPr>
        <w:pStyle w:val="ColorfulList-Accent11"/>
      </w:pPr>
      <w:r w:rsidRPr="009518CC">
        <w:t xml:space="preserve">Figure 6.x – One year retention rates </w:t>
      </w:r>
      <w:r w:rsidR="00C15DF5" w:rsidRPr="009518CC">
        <w:t>of all first-time freshmen (FTF) and under-represented minorities (URM) who did or did not take GEL 101.</w:t>
      </w:r>
      <w:r w:rsidR="00C15DF5">
        <w:t xml:space="preserve"> </w:t>
      </w:r>
    </w:p>
    <w:p w14:paraId="08753A99" w14:textId="77777777" w:rsidR="00F25251" w:rsidRDefault="00F25251" w:rsidP="00F25251">
      <w:pPr>
        <w:pStyle w:val="ColorfulList-Accent11"/>
        <w:ind w:left="0"/>
        <w:jc w:val="center"/>
        <w:rPr>
          <w:b/>
          <w:sz w:val="32"/>
        </w:rPr>
      </w:pPr>
    </w:p>
    <w:p w14:paraId="2B8EBF14" w14:textId="375CA6B3" w:rsidR="00AF0159" w:rsidRDefault="00A948F5" w:rsidP="00F25251">
      <w:pPr>
        <w:pStyle w:val="ColorfulList-Accent11"/>
        <w:ind w:left="0"/>
        <w:jc w:val="center"/>
        <w:rPr>
          <w:b/>
          <w:sz w:val="32"/>
        </w:rPr>
      </w:pPr>
      <w:r>
        <w:rPr>
          <w:b/>
          <w:sz w:val="32"/>
        </w:rPr>
        <w:t xml:space="preserve">6.2 </w:t>
      </w:r>
      <w:r w:rsidR="0036339F" w:rsidRPr="00F25251">
        <w:rPr>
          <w:b/>
          <w:sz w:val="32"/>
        </w:rPr>
        <w:t>Program Review</w:t>
      </w:r>
      <w:r w:rsidR="00AF0159">
        <w:rPr>
          <w:b/>
          <w:sz w:val="32"/>
        </w:rPr>
        <w:t xml:space="preserve"> </w:t>
      </w:r>
    </w:p>
    <w:p w14:paraId="0DE675EC" w14:textId="6D1AA321" w:rsidR="00066C00" w:rsidRDefault="00AF0159" w:rsidP="00F25251">
      <w:pPr>
        <w:pStyle w:val="ColorfulList-Accent11"/>
        <w:ind w:left="0"/>
        <w:jc w:val="center"/>
        <w:rPr>
          <w:b/>
          <w:i/>
          <w:sz w:val="28"/>
        </w:rPr>
      </w:pPr>
      <w:r w:rsidRPr="00AF0159">
        <w:rPr>
          <w:b/>
          <w:i/>
          <w:sz w:val="28"/>
        </w:rPr>
        <w:t>(CFRs 2.4, 2.6, 2.7, 4.1, 4.3, 4.4, 4.6, 4.7)</w:t>
      </w:r>
    </w:p>
    <w:p w14:paraId="2257A0CD" w14:textId="77777777" w:rsidR="009E231C" w:rsidRDefault="009E231C" w:rsidP="00F25251">
      <w:pPr>
        <w:pStyle w:val="ColorfulList-Accent11"/>
        <w:ind w:left="0"/>
        <w:jc w:val="center"/>
        <w:rPr>
          <w:sz w:val="28"/>
        </w:rPr>
      </w:pPr>
    </w:p>
    <w:p w14:paraId="1858244C" w14:textId="77777777" w:rsidR="00F25251" w:rsidRDefault="00F25251" w:rsidP="00F25251">
      <w:pPr>
        <w:pStyle w:val="ColorfulList-Accent11"/>
        <w:ind w:left="0"/>
        <w:jc w:val="center"/>
        <w:rPr>
          <w:u w:val="single"/>
        </w:rPr>
      </w:pPr>
    </w:p>
    <w:p w14:paraId="75EE4419" w14:textId="7873FCBD" w:rsidR="006D1E27" w:rsidRPr="00BB3B84" w:rsidRDefault="00A948F5" w:rsidP="00F25251">
      <w:pPr>
        <w:rPr>
          <w:rFonts w:ascii="Times New Roman" w:hAnsi="Times New Roman" w:cs="Times New Roman"/>
          <w:sz w:val="24"/>
          <w:szCs w:val="24"/>
        </w:rPr>
      </w:pPr>
      <w:r>
        <w:rPr>
          <w:rFonts w:ascii="Times New Roman" w:hAnsi="Times New Roman" w:cs="Times New Roman"/>
          <w:sz w:val="24"/>
          <w:szCs w:val="24"/>
          <w:u w:val="single"/>
        </w:rPr>
        <w:t xml:space="preserve">6.2.1 </w:t>
      </w:r>
      <w:r w:rsidR="008F0717" w:rsidRPr="00BB3B84">
        <w:rPr>
          <w:rFonts w:ascii="Times New Roman" w:hAnsi="Times New Roman" w:cs="Times New Roman"/>
          <w:sz w:val="24"/>
          <w:szCs w:val="24"/>
          <w:u w:val="single"/>
        </w:rPr>
        <w:t xml:space="preserve">History of </w:t>
      </w:r>
      <w:r w:rsidR="00F53F63">
        <w:rPr>
          <w:rFonts w:ascii="Times New Roman" w:hAnsi="Times New Roman" w:cs="Times New Roman"/>
          <w:sz w:val="24"/>
          <w:szCs w:val="24"/>
          <w:u w:val="single"/>
        </w:rPr>
        <w:t xml:space="preserve">the </w:t>
      </w:r>
      <w:r w:rsidR="008F0717" w:rsidRPr="00BB3B84">
        <w:rPr>
          <w:rFonts w:ascii="Times New Roman" w:hAnsi="Times New Roman" w:cs="Times New Roman"/>
          <w:sz w:val="24"/>
          <w:szCs w:val="24"/>
          <w:u w:val="single"/>
        </w:rPr>
        <w:t>Program Review Process</w:t>
      </w:r>
      <w:r w:rsidR="008F0717" w:rsidRPr="00BB3B84">
        <w:rPr>
          <w:rFonts w:ascii="Times New Roman" w:hAnsi="Times New Roman" w:cs="Times New Roman"/>
          <w:sz w:val="24"/>
          <w:szCs w:val="24"/>
        </w:rPr>
        <w:t xml:space="preserve"> – The CSUSM </w:t>
      </w:r>
      <w:r w:rsidR="00066C00">
        <w:rPr>
          <w:rFonts w:ascii="Times New Roman" w:hAnsi="Times New Roman" w:cs="Times New Roman"/>
          <w:sz w:val="24"/>
          <w:szCs w:val="24"/>
        </w:rPr>
        <w:t xml:space="preserve">Degree </w:t>
      </w:r>
      <w:r w:rsidR="007140FF" w:rsidRPr="00BB3B84">
        <w:rPr>
          <w:rFonts w:ascii="Times New Roman" w:hAnsi="Times New Roman" w:cs="Times New Roman"/>
          <w:sz w:val="24"/>
          <w:szCs w:val="24"/>
        </w:rPr>
        <w:t>Program R</w:t>
      </w:r>
      <w:r w:rsidR="008F0717" w:rsidRPr="00BB3B84">
        <w:rPr>
          <w:rFonts w:ascii="Times New Roman" w:hAnsi="Times New Roman" w:cs="Times New Roman"/>
          <w:sz w:val="24"/>
          <w:szCs w:val="24"/>
        </w:rPr>
        <w:t xml:space="preserve">eview </w:t>
      </w:r>
      <w:r w:rsidR="00961647" w:rsidRPr="00BB3B84">
        <w:rPr>
          <w:rFonts w:ascii="Times New Roman" w:hAnsi="Times New Roman" w:cs="Times New Roman"/>
          <w:sz w:val="24"/>
          <w:szCs w:val="24"/>
        </w:rPr>
        <w:t>(</w:t>
      </w:r>
      <w:r w:rsidR="00066C00">
        <w:rPr>
          <w:rFonts w:ascii="Times New Roman" w:hAnsi="Times New Roman" w:cs="Times New Roman"/>
          <w:sz w:val="24"/>
          <w:szCs w:val="24"/>
        </w:rPr>
        <w:t>D</w:t>
      </w:r>
      <w:r w:rsidR="00961647" w:rsidRPr="00BB3B84">
        <w:rPr>
          <w:rFonts w:ascii="Times New Roman" w:hAnsi="Times New Roman" w:cs="Times New Roman"/>
          <w:sz w:val="24"/>
          <w:szCs w:val="24"/>
        </w:rPr>
        <w:t xml:space="preserve">PR) </w:t>
      </w:r>
      <w:r w:rsidR="008F0717" w:rsidRPr="00BB3B84">
        <w:rPr>
          <w:rFonts w:ascii="Times New Roman" w:hAnsi="Times New Roman" w:cs="Times New Roman"/>
          <w:sz w:val="24"/>
          <w:szCs w:val="24"/>
        </w:rPr>
        <w:t xml:space="preserve">process </w:t>
      </w:r>
      <w:r w:rsidR="006D1E27" w:rsidRPr="00BB3B84">
        <w:rPr>
          <w:rFonts w:ascii="Times New Roman" w:hAnsi="Times New Roman" w:cs="Times New Roman"/>
          <w:sz w:val="24"/>
          <w:szCs w:val="24"/>
        </w:rPr>
        <w:t xml:space="preserve">was originally implemented in 1997, and revised in 1998 and 2001.  In alignment with our aim to strengthen the role of assessment at all levels, </w:t>
      </w:r>
      <w:r w:rsidR="00DD2DF3">
        <w:rPr>
          <w:rFonts w:ascii="Times New Roman" w:hAnsi="Times New Roman" w:cs="Times New Roman"/>
          <w:sz w:val="24"/>
          <w:szCs w:val="24"/>
        </w:rPr>
        <w:t xml:space="preserve">and </w:t>
      </w:r>
      <w:r w:rsidR="006D1E27" w:rsidRPr="00BB3B84">
        <w:rPr>
          <w:rFonts w:ascii="Times New Roman" w:hAnsi="Times New Roman" w:cs="Times New Roman"/>
          <w:sz w:val="24"/>
          <w:szCs w:val="24"/>
        </w:rPr>
        <w:t>combined with feedback from the last WASC review cycle, the policy was</w:t>
      </w:r>
      <w:r w:rsidR="001A17D9" w:rsidRPr="00BB3B84">
        <w:rPr>
          <w:rFonts w:ascii="Times New Roman" w:hAnsi="Times New Roman" w:cs="Times New Roman"/>
          <w:sz w:val="24"/>
          <w:szCs w:val="24"/>
        </w:rPr>
        <w:t xml:space="preserve"> </w:t>
      </w:r>
      <w:r w:rsidR="006D1E27" w:rsidRPr="00BB3B84">
        <w:rPr>
          <w:rFonts w:ascii="Times New Roman" w:hAnsi="Times New Roman" w:cs="Times New Roman"/>
          <w:sz w:val="24"/>
          <w:szCs w:val="24"/>
        </w:rPr>
        <w:t xml:space="preserve">revised </w:t>
      </w:r>
      <w:r w:rsidR="00961647" w:rsidRPr="00BB3B84">
        <w:rPr>
          <w:rFonts w:ascii="Times New Roman" w:hAnsi="Times New Roman" w:cs="Times New Roman"/>
          <w:sz w:val="24"/>
          <w:szCs w:val="24"/>
        </w:rPr>
        <w:t xml:space="preserve">significantly in </w:t>
      </w:r>
      <w:r w:rsidR="006D1E27" w:rsidRPr="00BB3B84">
        <w:rPr>
          <w:rFonts w:ascii="Times New Roman" w:hAnsi="Times New Roman" w:cs="Times New Roman"/>
          <w:sz w:val="24"/>
          <w:szCs w:val="24"/>
        </w:rPr>
        <w:t>2011</w:t>
      </w:r>
      <w:r w:rsidR="00DD2DF3">
        <w:rPr>
          <w:rFonts w:ascii="Times New Roman" w:hAnsi="Times New Roman" w:cs="Times New Roman"/>
          <w:sz w:val="24"/>
          <w:szCs w:val="24"/>
        </w:rPr>
        <w:t xml:space="preserve"> (for summary of major changes</w:t>
      </w:r>
      <w:r w:rsidR="007140FF" w:rsidRPr="00BB3B84">
        <w:rPr>
          <w:rFonts w:ascii="Times New Roman" w:hAnsi="Times New Roman" w:cs="Times New Roman"/>
          <w:sz w:val="24"/>
          <w:szCs w:val="24"/>
        </w:rPr>
        <w:t xml:space="preserve"> see </w:t>
      </w:r>
      <w:hyperlink r:id="rId7" w:history="1">
        <w:r w:rsidR="007140FF" w:rsidRPr="00BB3B84">
          <w:rPr>
            <w:rStyle w:val="Hyperlink"/>
            <w:rFonts w:ascii="Times New Roman" w:hAnsi="Times New Roman" w:cs="Times New Roman"/>
            <w:sz w:val="24"/>
            <w:szCs w:val="24"/>
          </w:rPr>
          <w:t>PR comparison chart</w:t>
        </w:r>
      </w:hyperlink>
      <w:r w:rsidR="007140FF" w:rsidRPr="00BB3B84">
        <w:rPr>
          <w:rFonts w:ascii="Times New Roman" w:hAnsi="Times New Roman" w:cs="Times New Roman"/>
          <w:sz w:val="24"/>
          <w:szCs w:val="24"/>
        </w:rPr>
        <w:t>)</w:t>
      </w:r>
      <w:r w:rsidR="006D1E27" w:rsidRPr="00BB3B84">
        <w:rPr>
          <w:rFonts w:ascii="Times New Roman" w:hAnsi="Times New Roman" w:cs="Times New Roman"/>
          <w:sz w:val="24"/>
          <w:szCs w:val="24"/>
        </w:rPr>
        <w:t xml:space="preserve">.  </w:t>
      </w:r>
      <w:r w:rsidR="001A17D9" w:rsidRPr="00BB3B84">
        <w:rPr>
          <w:rFonts w:ascii="Times New Roman" w:hAnsi="Times New Roman" w:cs="Times New Roman"/>
          <w:sz w:val="24"/>
          <w:szCs w:val="24"/>
        </w:rPr>
        <w:t xml:space="preserve">As outlined in </w:t>
      </w:r>
      <w:hyperlink r:id="rId8" w:history="1">
        <w:r w:rsidR="007140FF" w:rsidRPr="00BB3B84">
          <w:rPr>
            <w:rStyle w:val="Hyperlink"/>
            <w:rFonts w:ascii="Times New Roman" w:hAnsi="Times New Roman" w:cs="Times New Roman"/>
            <w:sz w:val="24"/>
            <w:szCs w:val="24"/>
          </w:rPr>
          <w:t xml:space="preserve">Section III. </w:t>
        </w:r>
        <w:r w:rsidR="001A17D9" w:rsidRPr="00BB3B84">
          <w:rPr>
            <w:rStyle w:val="Hyperlink"/>
            <w:rFonts w:ascii="Times New Roman" w:hAnsi="Times New Roman" w:cs="Times New Roman"/>
            <w:sz w:val="24"/>
            <w:szCs w:val="24"/>
          </w:rPr>
          <w:t>Principles</w:t>
        </w:r>
      </w:hyperlink>
      <w:r w:rsidR="007140FF" w:rsidRPr="00BB3B84">
        <w:rPr>
          <w:rFonts w:ascii="Times New Roman" w:hAnsi="Times New Roman" w:cs="Times New Roman"/>
          <w:sz w:val="24"/>
          <w:szCs w:val="24"/>
        </w:rPr>
        <w:t xml:space="preserve"> of the document, </w:t>
      </w:r>
      <w:r w:rsidR="001A17D9" w:rsidRPr="00BB3B84">
        <w:rPr>
          <w:rFonts w:ascii="Times New Roman" w:hAnsi="Times New Roman" w:cs="Times New Roman"/>
          <w:sz w:val="24"/>
          <w:szCs w:val="24"/>
        </w:rPr>
        <w:t xml:space="preserve">our most recent policy highlights the importance of </w:t>
      </w:r>
      <w:r w:rsidR="00DD2DF3">
        <w:rPr>
          <w:rFonts w:ascii="Times New Roman" w:hAnsi="Times New Roman" w:cs="Times New Roman"/>
          <w:sz w:val="24"/>
          <w:szCs w:val="24"/>
        </w:rPr>
        <w:t>D</w:t>
      </w:r>
      <w:r w:rsidR="007140FF" w:rsidRPr="00BB3B84">
        <w:rPr>
          <w:rFonts w:ascii="Times New Roman" w:hAnsi="Times New Roman" w:cs="Times New Roman"/>
          <w:sz w:val="24"/>
          <w:szCs w:val="24"/>
        </w:rPr>
        <w:t>PR</w:t>
      </w:r>
      <w:r w:rsidR="001A17D9" w:rsidRPr="00BB3B84">
        <w:rPr>
          <w:rFonts w:ascii="Times New Roman" w:hAnsi="Times New Roman" w:cs="Times New Roman"/>
          <w:sz w:val="24"/>
          <w:szCs w:val="24"/>
        </w:rPr>
        <w:t xml:space="preserve"> in academic planning, budget and resource allocation.  It also recognizes the workload</w:t>
      </w:r>
      <w:r w:rsidR="007140FF" w:rsidRPr="00BB3B84">
        <w:rPr>
          <w:rFonts w:ascii="Times New Roman" w:hAnsi="Times New Roman" w:cs="Times New Roman"/>
          <w:sz w:val="24"/>
          <w:szCs w:val="24"/>
        </w:rPr>
        <w:t xml:space="preserve"> required to deliver a quality p</w:t>
      </w:r>
      <w:r w:rsidR="001A17D9" w:rsidRPr="00BB3B84">
        <w:rPr>
          <w:rFonts w:ascii="Times New Roman" w:hAnsi="Times New Roman" w:cs="Times New Roman"/>
          <w:sz w:val="24"/>
          <w:szCs w:val="24"/>
        </w:rPr>
        <w:t xml:space="preserve">rogram review and dictates financial support from the Provost’s office.  </w:t>
      </w:r>
      <w:r w:rsidR="007140FF" w:rsidRPr="00BB3B84">
        <w:rPr>
          <w:rFonts w:ascii="Times New Roman" w:hAnsi="Times New Roman" w:cs="Times New Roman"/>
          <w:sz w:val="24"/>
          <w:szCs w:val="24"/>
        </w:rPr>
        <w:t>T</w:t>
      </w:r>
      <w:r w:rsidR="006D1E27" w:rsidRPr="00BB3B84">
        <w:rPr>
          <w:rFonts w:ascii="Times New Roman" w:hAnsi="Times New Roman" w:cs="Times New Roman"/>
          <w:sz w:val="24"/>
          <w:szCs w:val="24"/>
        </w:rPr>
        <w:t xml:space="preserve">he senate approval of our latest </w:t>
      </w:r>
      <w:r w:rsidR="00DD2DF3">
        <w:rPr>
          <w:rFonts w:ascii="Times New Roman" w:hAnsi="Times New Roman" w:cs="Times New Roman"/>
          <w:sz w:val="24"/>
          <w:szCs w:val="24"/>
        </w:rPr>
        <w:t>D</w:t>
      </w:r>
      <w:r w:rsidR="00961647" w:rsidRPr="00BB3B84">
        <w:rPr>
          <w:rFonts w:ascii="Times New Roman" w:hAnsi="Times New Roman" w:cs="Times New Roman"/>
          <w:sz w:val="24"/>
          <w:szCs w:val="24"/>
        </w:rPr>
        <w:t>PR</w:t>
      </w:r>
      <w:r w:rsidR="006D1E27" w:rsidRPr="00BB3B84">
        <w:rPr>
          <w:rFonts w:ascii="Times New Roman" w:hAnsi="Times New Roman" w:cs="Times New Roman"/>
          <w:sz w:val="24"/>
          <w:szCs w:val="24"/>
        </w:rPr>
        <w:t xml:space="preserve"> Policy</w:t>
      </w:r>
      <w:r w:rsidR="007140FF" w:rsidRPr="00BB3B84">
        <w:rPr>
          <w:rFonts w:ascii="Times New Roman" w:hAnsi="Times New Roman" w:cs="Times New Roman"/>
          <w:sz w:val="24"/>
          <w:szCs w:val="24"/>
        </w:rPr>
        <w:t xml:space="preserve">, along with the creation of a central </w:t>
      </w:r>
      <w:r w:rsidR="00066C00">
        <w:rPr>
          <w:rFonts w:ascii="Times New Roman" w:hAnsi="Times New Roman" w:cs="Times New Roman"/>
          <w:sz w:val="24"/>
          <w:szCs w:val="24"/>
        </w:rPr>
        <w:t xml:space="preserve">Degree </w:t>
      </w:r>
      <w:r w:rsidR="007140FF" w:rsidRPr="00BB3B84">
        <w:rPr>
          <w:rFonts w:ascii="Times New Roman" w:hAnsi="Times New Roman" w:cs="Times New Roman"/>
          <w:sz w:val="24"/>
          <w:szCs w:val="24"/>
        </w:rPr>
        <w:t xml:space="preserve">Program Review campus website, was commended in </w:t>
      </w:r>
      <w:r w:rsidR="001A17D9" w:rsidRPr="00BB3B84">
        <w:rPr>
          <w:rFonts w:ascii="Times New Roman" w:hAnsi="Times New Roman" w:cs="Times New Roman"/>
          <w:sz w:val="24"/>
          <w:szCs w:val="24"/>
        </w:rPr>
        <w:t xml:space="preserve">the 2012 </w:t>
      </w:r>
      <w:r w:rsidR="00DD2DF3">
        <w:rPr>
          <w:rFonts w:ascii="Times New Roman" w:hAnsi="Times New Roman" w:cs="Times New Roman"/>
          <w:sz w:val="24"/>
          <w:szCs w:val="24"/>
        </w:rPr>
        <w:t xml:space="preserve">WASC </w:t>
      </w:r>
      <w:r w:rsidR="001A17D9" w:rsidRPr="00BB3B84">
        <w:rPr>
          <w:rFonts w:ascii="Times New Roman" w:hAnsi="Times New Roman" w:cs="Times New Roman"/>
          <w:sz w:val="24"/>
          <w:szCs w:val="24"/>
        </w:rPr>
        <w:t xml:space="preserve">interim report.  </w:t>
      </w:r>
    </w:p>
    <w:p w14:paraId="4DB89ED1" w14:textId="2331DBBD" w:rsidR="0095329F" w:rsidRDefault="008F0717" w:rsidP="00F25251">
      <w:pPr>
        <w:rPr>
          <w:rFonts w:ascii="Times New Roman" w:hAnsi="Times New Roman" w:cs="Times New Roman"/>
          <w:sz w:val="24"/>
          <w:szCs w:val="24"/>
        </w:rPr>
      </w:pPr>
      <w:r w:rsidRPr="00BB3B84">
        <w:rPr>
          <w:rFonts w:ascii="Times New Roman" w:hAnsi="Times New Roman" w:cs="Times New Roman"/>
          <w:sz w:val="24"/>
          <w:szCs w:val="24"/>
          <w:u w:val="single"/>
        </w:rPr>
        <w:lastRenderedPageBreak/>
        <w:t xml:space="preserve">Current </w:t>
      </w:r>
      <w:r w:rsidR="00066C00">
        <w:rPr>
          <w:rFonts w:ascii="Times New Roman" w:hAnsi="Times New Roman" w:cs="Times New Roman"/>
          <w:sz w:val="24"/>
          <w:szCs w:val="24"/>
          <w:u w:val="single"/>
        </w:rPr>
        <w:t xml:space="preserve">Degree </w:t>
      </w:r>
      <w:r w:rsidRPr="00BB3B84">
        <w:rPr>
          <w:rFonts w:ascii="Times New Roman" w:hAnsi="Times New Roman" w:cs="Times New Roman"/>
          <w:sz w:val="24"/>
          <w:szCs w:val="24"/>
          <w:u w:val="single"/>
        </w:rPr>
        <w:t>Program Review Process</w:t>
      </w:r>
      <w:r w:rsidRPr="00BB3B84">
        <w:rPr>
          <w:rFonts w:ascii="Times New Roman" w:hAnsi="Times New Roman" w:cs="Times New Roman"/>
          <w:sz w:val="24"/>
          <w:szCs w:val="24"/>
        </w:rPr>
        <w:t xml:space="preserve"> - </w:t>
      </w:r>
      <w:r w:rsidR="00961647" w:rsidRPr="00BB3B84">
        <w:rPr>
          <w:rFonts w:ascii="Times New Roman" w:hAnsi="Times New Roman" w:cs="Times New Roman"/>
          <w:sz w:val="24"/>
          <w:szCs w:val="24"/>
        </w:rPr>
        <w:t xml:space="preserve">The current review </w:t>
      </w:r>
      <w:hyperlink r:id="rId9" w:history="1">
        <w:r w:rsidR="00961647" w:rsidRPr="00BB3B84">
          <w:rPr>
            <w:rStyle w:val="Hyperlink"/>
            <w:rFonts w:ascii="Times New Roman" w:hAnsi="Times New Roman" w:cs="Times New Roman"/>
            <w:sz w:val="24"/>
            <w:szCs w:val="24"/>
          </w:rPr>
          <w:t>timeline</w:t>
        </w:r>
      </w:hyperlink>
      <w:r w:rsidR="0026321D">
        <w:rPr>
          <w:rFonts w:ascii="Times New Roman" w:hAnsi="Times New Roman" w:cs="Times New Roman"/>
          <w:sz w:val="24"/>
          <w:szCs w:val="24"/>
        </w:rPr>
        <w:t xml:space="preserve"> takes approximately </w:t>
      </w:r>
      <w:r w:rsidR="004C49DD">
        <w:rPr>
          <w:rFonts w:ascii="Times New Roman" w:hAnsi="Times New Roman" w:cs="Times New Roman"/>
          <w:sz w:val="24"/>
          <w:szCs w:val="24"/>
        </w:rPr>
        <w:t>two years</w:t>
      </w:r>
      <w:r w:rsidR="0015668A">
        <w:rPr>
          <w:rFonts w:ascii="Times New Roman" w:hAnsi="Times New Roman" w:cs="Times New Roman"/>
          <w:sz w:val="24"/>
          <w:szCs w:val="24"/>
        </w:rPr>
        <w:t xml:space="preserve"> and includes </w:t>
      </w:r>
      <w:r w:rsidR="0026321D">
        <w:rPr>
          <w:rFonts w:ascii="Times New Roman" w:hAnsi="Times New Roman" w:cs="Times New Roman"/>
          <w:sz w:val="24"/>
          <w:szCs w:val="24"/>
        </w:rPr>
        <w:t xml:space="preserve">input </w:t>
      </w:r>
      <w:r w:rsidR="004C49DD">
        <w:rPr>
          <w:rFonts w:ascii="Times New Roman" w:hAnsi="Times New Roman" w:cs="Times New Roman"/>
          <w:sz w:val="24"/>
          <w:szCs w:val="24"/>
        </w:rPr>
        <w:t xml:space="preserve">and communication with multiple campus </w:t>
      </w:r>
      <w:r w:rsidR="0026321D">
        <w:rPr>
          <w:rFonts w:ascii="Times New Roman" w:hAnsi="Times New Roman" w:cs="Times New Roman"/>
          <w:sz w:val="24"/>
          <w:szCs w:val="24"/>
        </w:rPr>
        <w:t>groups</w:t>
      </w:r>
      <w:r w:rsidR="004C49DD">
        <w:rPr>
          <w:rFonts w:ascii="Times New Roman" w:hAnsi="Times New Roman" w:cs="Times New Roman"/>
          <w:sz w:val="24"/>
          <w:szCs w:val="24"/>
        </w:rPr>
        <w:t xml:space="preserve"> </w:t>
      </w:r>
      <w:r w:rsidR="0026321D">
        <w:rPr>
          <w:rFonts w:ascii="Times New Roman" w:hAnsi="Times New Roman" w:cs="Times New Roman"/>
          <w:sz w:val="24"/>
          <w:szCs w:val="24"/>
        </w:rPr>
        <w:t xml:space="preserve">and support </w:t>
      </w:r>
      <w:r w:rsidR="0015668A">
        <w:rPr>
          <w:rFonts w:ascii="Times New Roman" w:hAnsi="Times New Roman" w:cs="Times New Roman"/>
          <w:sz w:val="24"/>
          <w:szCs w:val="24"/>
        </w:rPr>
        <w:t xml:space="preserve">from the </w:t>
      </w:r>
      <w:r w:rsidR="0015668A" w:rsidRPr="00BB3B84">
        <w:rPr>
          <w:rFonts w:ascii="Times New Roman" w:hAnsi="Times New Roman" w:cs="Times New Roman"/>
          <w:sz w:val="24"/>
          <w:szCs w:val="24"/>
        </w:rPr>
        <w:t>Academic Senate Program Assessment Committee (PAC</w:t>
      </w:r>
      <w:r w:rsidR="0015668A">
        <w:rPr>
          <w:rFonts w:ascii="Times New Roman" w:hAnsi="Times New Roman" w:cs="Times New Roman"/>
          <w:sz w:val="24"/>
          <w:szCs w:val="24"/>
        </w:rPr>
        <w:t>)</w:t>
      </w:r>
      <w:r w:rsidR="0026321D">
        <w:rPr>
          <w:rFonts w:ascii="Times New Roman" w:hAnsi="Times New Roman" w:cs="Times New Roman"/>
          <w:sz w:val="24"/>
          <w:szCs w:val="24"/>
        </w:rPr>
        <w:t xml:space="preserve">.  </w:t>
      </w:r>
      <w:r w:rsidR="004C49DD">
        <w:rPr>
          <w:rFonts w:ascii="Times New Roman" w:hAnsi="Times New Roman" w:cs="Times New Roman"/>
          <w:sz w:val="24"/>
          <w:szCs w:val="24"/>
        </w:rPr>
        <w:t>In the semester prior to commencement of the program review, an initial planning meeting occurs to support the organizers of the program revie</w:t>
      </w:r>
      <w:r w:rsidR="00F01DA0">
        <w:rPr>
          <w:rFonts w:ascii="Times New Roman" w:hAnsi="Times New Roman" w:cs="Times New Roman"/>
          <w:sz w:val="24"/>
          <w:szCs w:val="24"/>
        </w:rPr>
        <w:t xml:space="preserve">w and to identify needed data.  </w:t>
      </w:r>
      <w:r w:rsidR="00DD2DF3">
        <w:rPr>
          <w:rFonts w:ascii="Times New Roman" w:hAnsi="Times New Roman" w:cs="Times New Roman"/>
          <w:sz w:val="24"/>
          <w:szCs w:val="24"/>
        </w:rPr>
        <w:t>The first year</w:t>
      </w:r>
      <w:r w:rsidR="00961647" w:rsidRPr="00BB3B84">
        <w:rPr>
          <w:rFonts w:ascii="Times New Roman" w:hAnsi="Times New Roman" w:cs="Times New Roman"/>
          <w:sz w:val="24"/>
          <w:szCs w:val="24"/>
        </w:rPr>
        <w:t xml:space="preserve"> focuses largely on </w:t>
      </w:r>
      <w:r w:rsidR="0085744B" w:rsidRPr="00BB3B84">
        <w:rPr>
          <w:rFonts w:ascii="Times New Roman" w:hAnsi="Times New Roman" w:cs="Times New Roman"/>
          <w:sz w:val="24"/>
          <w:szCs w:val="24"/>
        </w:rPr>
        <w:t xml:space="preserve">the writing of a </w:t>
      </w:r>
      <w:r w:rsidR="00946427">
        <w:rPr>
          <w:rFonts w:ascii="Times New Roman" w:hAnsi="Times New Roman" w:cs="Times New Roman"/>
          <w:sz w:val="24"/>
          <w:szCs w:val="24"/>
        </w:rPr>
        <w:t>self-s</w:t>
      </w:r>
      <w:r w:rsidR="00961647" w:rsidRPr="00BB3B84">
        <w:rPr>
          <w:rFonts w:ascii="Times New Roman" w:hAnsi="Times New Roman" w:cs="Times New Roman"/>
          <w:sz w:val="24"/>
          <w:szCs w:val="24"/>
        </w:rPr>
        <w:t>tudy</w:t>
      </w:r>
      <w:r w:rsidR="0085744B" w:rsidRPr="00BB3B84">
        <w:rPr>
          <w:rFonts w:ascii="Times New Roman" w:hAnsi="Times New Roman" w:cs="Times New Roman"/>
          <w:sz w:val="24"/>
          <w:szCs w:val="24"/>
        </w:rPr>
        <w:t xml:space="preserve"> (SS)</w:t>
      </w:r>
      <w:r w:rsidR="00961647" w:rsidRPr="00BB3B84">
        <w:rPr>
          <w:rFonts w:ascii="Times New Roman" w:hAnsi="Times New Roman" w:cs="Times New Roman"/>
          <w:sz w:val="24"/>
          <w:szCs w:val="24"/>
        </w:rPr>
        <w:t xml:space="preserve"> and some administrative review, and </w:t>
      </w:r>
      <w:r w:rsidR="00DD2DF3">
        <w:rPr>
          <w:rFonts w:ascii="Times New Roman" w:hAnsi="Times New Roman" w:cs="Times New Roman"/>
          <w:sz w:val="24"/>
          <w:szCs w:val="24"/>
        </w:rPr>
        <w:t xml:space="preserve">the second </w:t>
      </w:r>
      <w:r w:rsidR="00961647" w:rsidRPr="00BB3B84">
        <w:rPr>
          <w:rFonts w:ascii="Times New Roman" w:hAnsi="Times New Roman" w:cs="Times New Roman"/>
          <w:sz w:val="24"/>
          <w:szCs w:val="24"/>
        </w:rPr>
        <w:t xml:space="preserve">year </w:t>
      </w:r>
      <w:r w:rsidR="00DD2DF3">
        <w:rPr>
          <w:rFonts w:ascii="Times New Roman" w:hAnsi="Times New Roman" w:cs="Times New Roman"/>
          <w:sz w:val="24"/>
          <w:szCs w:val="24"/>
        </w:rPr>
        <w:t>includes</w:t>
      </w:r>
      <w:r w:rsidR="00961647" w:rsidRPr="00BB3B84">
        <w:rPr>
          <w:rFonts w:ascii="Times New Roman" w:hAnsi="Times New Roman" w:cs="Times New Roman"/>
          <w:sz w:val="24"/>
          <w:szCs w:val="24"/>
        </w:rPr>
        <w:t xml:space="preserve"> the external review, further administrative review, and development of a MOU</w:t>
      </w:r>
      <w:r w:rsidR="0026321D">
        <w:rPr>
          <w:rFonts w:ascii="Times New Roman" w:hAnsi="Times New Roman" w:cs="Times New Roman"/>
          <w:sz w:val="24"/>
          <w:szCs w:val="24"/>
        </w:rPr>
        <w:t xml:space="preserve"> (</w:t>
      </w:r>
      <w:hyperlink r:id="rId10" w:history="1">
        <w:r w:rsidR="0026321D" w:rsidRPr="00F01DA0">
          <w:rPr>
            <w:rStyle w:val="Hyperlink"/>
            <w:rFonts w:ascii="Times New Roman" w:hAnsi="Times New Roman" w:cs="Times New Roman"/>
            <w:sz w:val="24"/>
            <w:szCs w:val="24"/>
          </w:rPr>
          <w:t>detailed flowchart</w:t>
        </w:r>
      </w:hyperlink>
      <w:r w:rsidR="0026321D">
        <w:rPr>
          <w:rFonts w:ascii="Times New Roman" w:hAnsi="Times New Roman" w:cs="Times New Roman"/>
          <w:sz w:val="24"/>
          <w:szCs w:val="24"/>
        </w:rPr>
        <w:t>)</w:t>
      </w:r>
      <w:r w:rsidR="00961647" w:rsidRPr="00BB3B84">
        <w:rPr>
          <w:rFonts w:ascii="Times New Roman" w:hAnsi="Times New Roman" w:cs="Times New Roman"/>
          <w:sz w:val="24"/>
          <w:szCs w:val="24"/>
        </w:rPr>
        <w:t xml:space="preserve">.  </w:t>
      </w:r>
    </w:p>
    <w:p w14:paraId="50B7717C" w14:textId="5DA49922" w:rsidR="0036339F" w:rsidRPr="00BB3B84" w:rsidRDefault="0026321D" w:rsidP="00F25251">
      <w:pPr>
        <w:rPr>
          <w:rFonts w:ascii="Times New Roman" w:hAnsi="Times New Roman" w:cs="Times New Roman"/>
          <w:sz w:val="24"/>
          <w:szCs w:val="24"/>
        </w:rPr>
      </w:pPr>
      <w:r>
        <w:rPr>
          <w:rFonts w:ascii="Times New Roman" w:hAnsi="Times New Roman" w:cs="Times New Roman"/>
          <w:sz w:val="24"/>
          <w:szCs w:val="24"/>
        </w:rPr>
        <w:t xml:space="preserve">To assist the development of the SS, IPA provides the program a </w:t>
      </w:r>
      <w:hyperlink r:id="rId11" w:history="1">
        <w:r w:rsidRPr="00946427">
          <w:rPr>
            <w:rStyle w:val="Hyperlink"/>
            <w:rFonts w:ascii="Times New Roman" w:hAnsi="Times New Roman" w:cs="Times New Roman"/>
            <w:sz w:val="24"/>
            <w:szCs w:val="24"/>
          </w:rPr>
          <w:t>Program Data Notebook</w:t>
        </w:r>
      </w:hyperlink>
      <w:r>
        <w:rPr>
          <w:rFonts w:ascii="Times New Roman" w:hAnsi="Times New Roman" w:cs="Times New Roman"/>
          <w:sz w:val="24"/>
          <w:szCs w:val="24"/>
        </w:rPr>
        <w:t xml:space="preserve"> that includes detailed information about students in the major and program faculty.</w:t>
      </w:r>
      <w:r w:rsidR="00F01DA0">
        <w:rPr>
          <w:rFonts w:ascii="Times New Roman" w:hAnsi="Times New Roman" w:cs="Times New Roman"/>
          <w:sz w:val="24"/>
          <w:szCs w:val="24"/>
        </w:rPr>
        <w:t xml:space="preserve"> </w:t>
      </w:r>
      <w:r w:rsidR="00961647" w:rsidRPr="00BB3B84">
        <w:rPr>
          <w:rFonts w:ascii="Times New Roman" w:hAnsi="Times New Roman" w:cs="Times New Roman"/>
          <w:sz w:val="24"/>
          <w:szCs w:val="24"/>
        </w:rPr>
        <w:t>The</w:t>
      </w:r>
      <w:r w:rsidR="00705824" w:rsidRPr="00BB3B84">
        <w:rPr>
          <w:rFonts w:ascii="Times New Roman" w:hAnsi="Times New Roman" w:cs="Times New Roman"/>
          <w:sz w:val="24"/>
          <w:szCs w:val="24"/>
        </w:rPr>
        <w:t xml:space="preserve"> in-</w:t>
      </w:r>
      <w:r w:rsidR="0085744B" w:rsidRPr="00BB3B84">
        <w:rPr>
          <w:rFonts w:ascii="Times New Roman" w:hAnsi="Times New Roman" w:cs="Times New Roman"/>
          <w:sz w:val="24"/>
          <w:szCs w:val="24"/>
        </w:rPr>
        <w:t>de</w:t>
      </w:r>
      <w:r w:rsidR="0095329F">
        <w:rPr>
          <w:rFonts w:ascii="Times New Roman" w:hAnsi="Times New Roman" w:cs="Times New Roman"/>
          <w:sz w:val="24"/>
          <w:szCs w:val="24"/>
        </w:rPr>
        <w:t>pth review required by the SS includes 1) introduction to the self-study, 2) achieving educational outcomes, 3) developing and applying resources (capacity review), 4) additional themes or special issues selected by the program, and 5) planning for the next five years.</w:t>
      </w:r>
      <w:r w:rsidR="00946427">
        <w:rPr>
          <w:rFonts w:ascii="Times New Roman" w:hAnsi="Times New Roman" w:cs="Times New Roman"/>
          <w:sz w:val="24"/>
          <w:szCs w:val="24"/>
        </w:rPr>
        <w:t xml:space="preserve"> </w:t>
      </w:r>
      <w:r w:rsidR="00F01DA0">
        <w:rPr>
          <w:rFonts w:ascii="Times New Roman" w:hAnsi="Times New Roman" w:cs="Times New Roman"/>
          <w:sz w:val="24"/>
          <w:szCs w:val="24"/>
        </w:rPr>
        <w:t xml:space="preserve">This in-depth review of a program’s process </w:t>
      </w:r>
      <w:r w:rsidR="0036339F" w:rsidRPr="00BB3B84">
        <w:rPr>
          <w:rFonts w:ascii="Times New Roman" w:hAnsi="Times New Roman" w:cs="Times New Roman"/>
          <w:sz w:val="24"/>
          <w:szCs w:val="24"/>
        </w:rPr>
        <w:t xml:space="preserve">toward achieving its </w:t>
      </w:r>
      <w:r w:rsidR="0085744B" w:rsidRPr="00BB3B84">
        <w:rPr>
          <w:rFonts w:ascii="Times New Roman" w:hAnsi="Times New Roman" w:cs="Times New Roman"/>
          <w:sz w:val="24"/>
          <w:szCs w:val="24"/>
        </w:rPr>
        <w:t xml:space="preserve">stated </w:t>
      </w:r>
      <w:r w:rsidR="0036339F" w:rsidRPr="00BB3B84">
        <w:rPr>
          <w:rFonts w:ascii="Times New Roman" w:hAnsi="Times New Roman" w:cs="Times New Roman"/>
          <w:sz w:val="24"/>
          <w:szCs w:val="24"/>
        </w:rPr>
        <w:t xml:space="preserve">educational outcomes </w:t>
      </w:r>
      <w:r w:rsidR="0085744B" w:rsidRPr="00BB3B84">
        <w:rPr>
          <w:rFonts w:ascii="Times New Roman" w:hAnsi="Times New Roman" w:cs="Times New Roman"/>
          <w:sz w:val="24"/>
          <w:szCs w:val="24"/>
        </w:rPr>
        <w:t>and programmatic goals, is a critical step for program-level quality assurance</w:t>
      </w:r>
      <w:r w:rsidR="00705824" w:rsidRPr="00BB3B84">
        <w:rPr>
          <w:rFonts w:ascii="Times New Roman" w:hAnsi="Times New Roman" w:cs="Times New Roman"/>
          <w:sz w:val="24"/>
          <w:szCs w:val="24"/>
        </w:rPr>
        <w:t>. A report and reflection on annual a</w:t>
      </w:r>
      <w:r w:rsidR="0036339F" w:rsidRPr="00BB3B84">
        <w:rPr>
          <w:rFonts w:ascii="Times New Roman" w:hAnsi="Times New Roman" w:cs="Times New Roman"/>
          <w:sz w:val="24"/>
          <w:szCs w:val="24"/>
        </w:rPr>
        <w:t>ssessments of PSLOs and program-level changes that fac</w:t>
      </w:r>
      <w:r w:rsidR="00705824" w:rsidRPr="00BB3B84">
        <w:rPr>
          <w:rFonts w:ascii="Times New Roman" w:hAnsi="Times New Roman" w:cs="Times New Roman"/>
          <w:sz w:val="24"/>
          <w:szCs w:val="24"/>
        </w:rPr>
        <w:t>ulty have implemented based on annual a</w:t>
      </w:r>
      <w:r w:rsidR="0036339F" w:rsidRPr="00BB3B84">
        <w:rPr>
          <w:rFonts w:ascii="Times New Roman" w:hAnsi="Times New Roman" w:cs="Times New Roman"/>
          <w:sz w:val="24"/>
          <w:szCs w:val="24"/>
        </w:rPr>
        <w:t xml:space="preserve">ssessment findings is central to the Achieving Educational Effectiveness section of the </w:t>
      </w:r>
      <w:r w:rsidR="007140FF" w:rsidRPr="00BB3B84">
        <w:rPr>
          <w:rFonts w:ascii="Times New Roman" w:hAnsi="Times New Roman" w:cs="Times New Roman"/>
          <w:sz w:val="24"/>
          <w:szCs w:val="24"/>
        </w:rPr>
        <w:t>PR’s</w:t>
      </w:r>
      <w:r w:rsidR="0036339F" w:rsidRPr="00BB3B84">
        <w:rPr>
          <w:rFonts w:ascii="Times New Roman" w:hAnsi="Times New Roman" w:cs="Times New Roman"/>
          <w:sz w:val="24"/>
          <w:szCs w:val="24"/>
        </w:rPr>
        <w:t xml:space="preserve"> </w:t>
      </w:r>
      <w:r w:rsidR="0085744B" w:rsidRPr="00BB3B84">
        <w:rPr>
          <w:rFonts w:ascii="Times New Roman" w:hAnsi="Times New Roman" w:cs="Times New Roman"/>
          <w:sz w:val="24"/>
          <w:szCs w:val="24"/>
        </w:rPr>
        <w:t>SS</w:t>
      </w:r>
      <w:r w:rsidR="0036339F" w:rsidRPr="00BB3B84">
        <w:rPr>
          <w:rFonts w:ascii="Times New Roman" w:hAnsi="Times New Roman" w:cs="Times New Roman"/>
          <w:sz w:val="24"/>
          <w:szCs w:val="24"/>
        </w:rPr>
        <w:t xml:space="preserve">. The </w:t>
      </w:r>
      <w:r w:rsidR="0085744B" w:rsidRPr="00BB3B84">
        <w:rPr>
          <w:rFonts w:ascii="Times New Roman" w:hAnsi="Times New Roman" w:cs="Times New Roman"/>
          <w:sz w:val="24"/>
          <w:szCs w:val="24"/>
        </w:rPr>
        <w:t>SS</w:t>
      </w:r>
      <w:r w:rsidR="0036339F" w:rsidRPr="00BB3B84">
        <w:rPr>
          <w:rFonts w:ascii="Times New Roman" w:hAnsi="Times New Roman" w:cs="Times New Roman"/>
          <w:sz w:val="24"/>
          <w:szCs w:val="24"/>
        </w:rPr>
        <w:t xml:space="preserve"> also includes a future plan for growth and for addressing program weaknesses and challenges identified in the review. </w:t>
      </w:r>
    </w:p>
    <w:p w14:paraId="28898C5F" w14:textId="4F51E445" w:rsidR="0036339F" w:rsidRPr="00BB3B84" w:rsidRDefault="0036339F" w:rsidP="00F25251">
      <w:pPr>
        <w:rPr>
          <w:rFonts w:ascii="Times New Roman" w:hAnsi="Times New Roman" w:cs="Times New Roman"/>
          <w:sz w:val="24"/>
          <w:szCs w:val="24"/>
        </w:rPr>
      </w:pPr>
      <w:r w:rsidRPr="00BB3B84">
        <w:rPr>
          <w:rFonts w:ascii="Times New Roman" w:hAnsi="Times New Roman" w:cs="Times New Roman"/>
          <w:sz w:val="24"/>
          <w:szCs w:val="24"/>
        </w:rPr>
        <w:t xml:space="preserve">In addition to the </w:t>
      </w:r>
      <w:r w:rsidR="0085744B" w:rsidRPr="00BB3B84">
        <w:rPr>
          <w:rFonts w:ascii="Times New Roman" w:hAnsi="Times New Roman" w:cs="Times New Roman"/>
          <w:sz w:val="24"/>
          <w:szCs w:val="24"/>
        </w:rPr>
        <w:t>SS</w:t>
      </w:r>
      <w:r w:rsidRPr="00BB3B84">
        <w:rPr>
          <w:rFonts w:ascii="Times New Roman" w:hAnsi="Times New Roman" w:cs="Times New Roman"/>
          <w:sz w:val="24"/>
          <w:szCs w:val="24"/>
        </w:rPr>
        <w:t xml:space="preserve">, the </w:t>
      </w:r>
      <w:r w:rsidR="00066C00">
        <w:rPr>
          <w:rFonts w:ascii="Times New Roman" w:hAnsi="Times New Roman" w:cs="Times New Roman"/>
          <w:sz w:val="24"/>
          <w:szCs w:val="24"/>
        </w:rPr>
        <w:t>D</w:t>
      </w:r>
      <w:r w:rsidR="007140FF" w:rsidRPr="00BB3B84">
        <w:rPr>
          <w:rFonts w:ascii="Times New Roman" w:hAnsi="Times New Roman" w:cs="Times New Roman"/>
          <w:sz w:val="24"/>
          <w:szCs w:val="24"/>
        </w:rPr>
        <w:t>PR</w:t>
      </w:r>
      <w:r w:rsidRPr="00BB3B84">
        <w:rPr>
          <w:rFonts w:ascii="Times New Roman" w:hAnsi="Times New Roman" w:cs="Times New Roman"/>
          <w:sz w:val="24"/>
          <w:szCs w:val="24"/>
        </w:rPr>
        <w:t xml:space="preserve"> includes assessments of the program’s strengths and challenges as well as recommendations for its future direction from external reviewers, the Deans of the Library and Instructional and Information Technology Services, the College Dean, and the </w:t>
      </w:r>
      <w:r w:rsidR="0015668A">
        <w:rPr>
          <w:rFonts w:ascii="Times New Roman" w:hAnsi="Times New Roman" w:cs="Times New Roman"/>
          <w:sz w:val="24"/>
          <w:szCs w:val="24"/>
        </w:rPr>
        <w:t>PAC</w:t>
      </w:r>
      <w:r w:rsidRPr="00BB3B84">
        <w:rPr>
          <w:rFonts w:ascii="Times New Roman" w:hAnsi="Times New Roman" w:cs="Times New Roman"/>
          <w:sz w:val="24"/>
          <w:szCs w:val="24"/>
        </w:rPr>
        <w:t xml:space="preserve">. The PAC also recommends the length of the next review cycle based on the following criteria specified in the Program Review Policy and Guidelines: </w:t>
      </w:r>
    </w:p>
    <w:p w14:paraId="3FDAE8AF" w14:textId="77777777" w:rsidR="0036339F" w:rsidRPr="00BB3B84" w:rsidRDefault="0036339F" w:rsidP="009E231C">
      <w:pPr>
        <w:pStyle w:val="ListParagraph"/>
        <w:numPr>
          <w:ilvl w:val="0"/>
          <w:numId w:val="6"/>
        </w:numPr>
        <w:tabs>
          <w:tab w:val="left" w:pos="540"/>
          <w:tab w:val="left" w:pos="900"/>
          <w:tab w:val="left" w:pos="2160"/>
        </w:tabs>
        <w:spacing w:after="0" w:line="240" w:lineRule="auto"/>
        <w:ind w:left="360"/>
        <w:outlineLvl w:val="0"/>
        <w:rPr>
          <w:rFonts w:ascii="Times New Roman" w:hAnsi="Times New Roman" w:cs="Times New Roman"/>
          <w:sz w:val="24"/>
          <w:szCs w:val="24"/>
        </w:rPr>
      </w:pPr>
      <w:r w:rsidRPr="00BB3B84">
        <w:rPr>
          <w:rFonts w:ascii="Times New Roman" w:hAnsi="Times New Roman" w:cs="Times New Roman"/>
          <w:sz w:val="24"/>
          <w:szCs w:val="24"/>
        </w:rPr>
        <w:t>program adherence to the terms of the previous MOU;</w:t>
      </w:r>
    </w:p>
    <w:p w14:paraId="4C1D690D" w14:textId="77777777" w:rsidR="0036339F" w:rsidRPr="00BB3B84" w:rsidRDefault="0036339F" w:rsidP="009E231C">
      <w:pPr>
        <w:numPr>
          <w:ilvl w:val="0"/>
          <w:numId w:val="2"/>
        </w:numPr>
        <w:tabs>
          <w:tab w:val="left" w:pos="540"/>
          <w:tab w:val="left" w:pos="1260"/>
          <w:tab w:val="left" w:pos="2160"/>
        </w:tabs>
        <w:spacing w:after="0" w:line="240" w:lineRule="auto"/>
        <w:ind w:left="270" w:hanging="270"/>
        <w:outlineLvl w:val="0"/>
        <w:rPr>
          <w:rFonts w:ascii="Times New Roman" w:hAnsi="Times New Roman" w:cs="Times New Roman"/>
          <w:sz w:val="24"/>
          <w:szCs w:val="24"/>
        </w:rPr>
      </w:pPr>
      <w:r w:rsidRPr="00BB3B84">
        <w:rPr>
          <w:rFonts w:ascii="Times New Roman" w:hAnsi="Times New Roman" w:cs="Times New Roman"/>
          <w:sz w:val="24"/>
          <w:szCs w:val="24"/>
        </w:rPr>
        <w:t>the degree to which the annual assessments have generated useful data and whether assessment results have been used to make appropriate changes;</w:t>
      </w:r>
    </w:p>
    <w:p w14:paraId="1F53EBA5" w14:textId="77777777" w:rsidR="0036339F" w:rsidRPr="00BB3B84" w:rsidRDefault="0036339F" w:rsidP="009E231C">
      <w:pPr>
        <w:numPr>
          <w:ilvl w:val="0"/>
          <w:numId w:val="2"/>
        </w:numPr>
        <w:tabs>
          <w:tab w:val="left" w:pos="540"/>
          <w:tab w:val="left" w:pos="1260"/>
          <w:tab w:val="left" w:pos="2160"/>
        </w:tabs>
        <w:spacing w:after="0" w:line="240" w:lineRule="auto"/>
        <w:ind w:left="270" w:hanging="270"/>
        <w:outlineLvl w:val="0"/>
        <w:rPr>
          <w:rFonts w:ascii="Times New Roman" w:hAnsi="Times New Roman" w:cs="Times New Roman"/>
          <w:sz w:val="24"/>
          <w:szCs w:val="24"/>
        </w:rPr>
      </w:pPr>
      <w:r w:rsidRPr="00BB3B84">
        <w:rPr>
          <w:rFonts w:ascii="Times New Roman" w:hAnsi="Times New Roman" w:cs="Times New Roman"/>
          <w:sz w:val="24"/>
          <w:szCs w:val="24"/>
        </w:rPr>
        <w:t>the strengths and challenges identified by the review of educational effectiveness and capacity; and</w:t>
      </w:r>
    </w:p>
    <w:p w14:paraId="7183DD33" w14:textId="77777777" w:rsidR="0036339F" w:rsidRPr="00BB3B84" w:rsidRDefault="0036339F" w:rsidP="009E231C">
      <w:pPr>
        <w:numPr>
          <w:ilvl w:val="0"/>
          <w:numId w:val="2"/>
        </w:numPr>
        <w:tabs>
          <w:tab w:val="left" w:pos="540"/>
          <w:tab w:val="left" w:pos="1260"/>
          <w:tab w:val="left" w:pos="2160"/>
        </w:tabs>
        <w:spacing w:after="0" w:line="240" w:lineRule="auto"/>
        <w:ind w:left="270" w:hanging="270"/>
        <w:outlineLvl w:val="0"/>
        <w:rPr>
          <w:rFonts w:ascii="Times New Roman" w:hAnsi="Times New Roman" w:cs="Times New Roman"/>
          <w:sz w:val="24"/>
          <w:szCs w:val="24"/>
        </w:rPr>
      </w:pPr>
      <w:r w:rsidRPr="00BB3B84">
        <w:rPr>
          <w:rFonts w:ascii="Times New Roman" w:hAnsi="Times New Roman" w:cs="Times New Roman"/>
          <w:sz w:val="24"/>
          <w:szCs w:val="24"/>
        </w:rPr>
        <w:t xml:space="preserve">the degree to which the five-year plan explicitly and appropriately addresses program challenges and enhances or preserves program strengths. </w:t>
      </w:r>
    </w:p>
    <w:p w14:paraId="6AC9D992" w14:textId="77777777" w:rsidR="0085744B" w:rsidRPr="00BB3B84" w:rsidRDefault="0036339F" w:rsidP="00F25251">
      <w:pPr>
        <w:tabs>
          <w:tab w:val="left" w:pos="540"/>
          <w:tab w:val="left" w:pos="1620"/>
          <w:tab w:val="left" w:pos="2160"/>
        </w:tabs>
        <w:outlineLvl w:val="0"/>
        <w:rPr>
          <w:rFonts w:ascii="Times New Roman" w:hAnsi="Times New Roman" w:cs="Times New Roman"/>
          <w:sz w:val="24"/>
          <w:szCs w:val="24"/>
        </w:rPr>
      </w:pPr>
      <w:r w:rsidRPr="00BB3B84">
        <w:rPr>
          <w:rFonts w:ascii="Times New Roman" w:hAnsi="Times New Roman" w:cs="Times New Roman"/>
          <w:sz w:val="24"/>
          <w:szCs w:val="24"/>
        </w:rPr>
        <w:t xml:space="preserve"> </w:t>
      </w:r>
    </w:p>
    <w:p w14:paraId="5CACB38B" w14:textId="77777777" w:rsidR="0036339F" w:rsidRPr="00BB3B84" w:rsidRDefault="0036339F" w:rsidP="00F25251">
      <w:pPr>
        <w:tabs>
          <w:tab w:val="left" w:pos="540"/>
          <w:tab w:val="left" w:pos="1620"/>
          <w:tab w:val="left" w:pos="2160"/>
        </w:tabs>
        <w:outlineLvl w:val="0"/>
        <w:rPr>
          <w:rFonts w:ascii="Times New Roman" w:hAnsi="Times New Roman" w:cs="Times New Roman"/>
          <w:sz w:val="24"/>
          <w:szCs w:val="24"/>
        </w:rPr>
      </w:pPr>
      <w:r w:rsidRPr="00BB3B84">
        <w:rPr>
          <w:rFonts w:ascii="Times New Roman" w:hAnsi="Times New Roman" w:cs="Times New Roman"/>
          <w:sz w:val="24"/>
          <w:szCs w:val="24"/>
        </w:rPr>
        <w:t>The three possible recommendations for the length of</w:t>
      </w:r>
      <w:r w:rsidR="00705824" w:rsidRPr="00BB3B84">
        <w:rPr>
          <w:rFonts w:ascii="Times New Roman" w:hAnsi="Times New Roman" w:cs="Times New Roman"/>
          <w:sz w:val="24"/>
          <w:szCs w:val="24"/>
        </w:rPr>
        <w:t xml:space="preserve"> </w:t>
      </w:r>
      <w:r w:rsidRPr="00BB3B84">
        <w:rPr>
          <w:rFonts w:ascii="Times New Roman" w:hAnsi="Times New Roman" w:cs="Times New Roman"/>
          <w:sz w:val="24"/>
          <w:szCs w:val="24"/>
        </w:rPr>
        <w:t xml:space="preserve">the next review cycle </w:t>
      </w:r>
      <w:r w:rsidR="0085744B" w:rsidRPr="00BB3B84">
        <w:rPr>
          <w:rFonts w:ascii="Times New Roman" w:hAnsi="Times New Roman" w:cs="Times New Roman"/>
          <w:sz w:val="24"/>
          <w:szCs w:val="24"/>
        </w:rPr>
        <w:t>are</w:t>
      </w:r>
      <w:r w:rsidRPr="00BB3B84">
        <w:rPr>
          <w:rFonts w:ascii="Times New Roman" w:hAnsi="Times New Roman" w:cs="Times New Roman"/>
          <w:sz w:val="24"/>
          <w:szCs w:val="24"/>
        </w:rPr>
        <w:t>:</w:t>
      </w:r>
    </w:p>
    <w:p w14:paraId="6870BEEC" w14:textId="77777777" w:rsidR="0036339F" w:rsidRPr="00047AD5" w:rsidRDefault="0036339F" w:rsidP="00F25251">
      <w:pPr>
        <w:numPr>
          <w:ilvl w:val="0"/>
          <w:numId w:val="1"/>
        </w:numPr>
        <w:tabs>
          <w:tab w:val="left" w:pos="540"/>
          <w:tab w:val="left" w:pos="1260"/>
          <w:tab w:val="left" w:pos="1620"/>
          <w:tab w:val="left" w:pos="2160"/>
        </w:tabs>
        <w:spacing w:after="0" w:line="240" w:lineRule="auto"/>
        <w:ind w:left="810" w:hanging="270"/>
        <w:outlineLvl w:val="0"/>
        <w:rPr>
          <w:rFonts w:ascii="Times New Roman" w:hAnsi="Times New Roman" w:cs="Times New Roman"/>
          <w:szCs w:val="24"/>
        </w:rPr>
      </w:pPr>
      <w:r w:rsidRPr="00047AD5">
        <w:rPr>
          <w:rFonts w:ascii="Times New Roman" w:hAnsi="Times New Roman" w:cs="Times New Roman"/>
          <w:b/>
          <w:bCs/>
          <w:szCs w:val="24"/>
        </w:rPr>
        <w:t>Recommendation to Conti</w:t>
      </w:r>
      <w:r w:rsidR="00705824" w:rsidRPr="00047AD5">
        <w:rPr>
          <w:rFonts w:ascii="Times New Roman" w:hAnsi="Times New Roman" w:cs="Times New Roman"/>
          <w:b/>
          <w:bCs/>
          <w:szCs w:val="24"/>
        </w:rPr>
        <w:t xml:space="preserve">nue a Program with Notation of </w:t>
      </w:r>
      <w:r w:rsidRPr="00047AD5">
        <w:rPr>
          <w:rFonts w:ascii="Times New Roman" w:hAnsi="Times New Roman" w:cs="Times New Roman"/>
          <w:b/>
          <w:bCs/>
          <w:szCs w:val="24"/>
        </w:rPr>
        <w:t xml:space="preserve">Exceptional Quality:  </w:t>
      </w:r>
      <w:r w:rsidRPr="00047AD5">
        <w:rPr>
          <w:rFonts w:ascii="Times New Roman" w:hAnsi="Times New Roman" w:cs="Times New Roman"/>
          <w:szCs w:val="24"/>
        </w:rPr>
        <w:t>Approval is recommended without reservation and with a notation of specific areas of program promise and excellence. These programs will be recommended for a seven-year review cycle.</w:t>
      </w:r>
    </w:p>
    <w:p w14:paraId="4859655C" w14:textId="77777777" w:rsidR="0036339F" w:rsidRPr="00047AD5" w:rsidRDefault="0036339F" w:rsidP="00F25251">
      <w:pPr>
        <w:numPr>
          <w:ilvl w:val="0"/>
          <w:numId w:val="1"/>
        </w:numPr>
        <w:tabs>
          <w:tab w:val="left" w:pos="540"/>
          <w:tab w:val="left" w:pos="1260"/>
          <w:tab w:val="left" w:pos="1620"/>
          <w:tab w:val="left" w:pos="2160"/>
        </w:tabs>
        <w:spacing w:after="0" w:line="240" w:lineRule="auto"/>
        <w:ind w:left="810" w:hanging="270"/>
        <w:outlineLvl w:val="0"/>
        <w:rPr>
          <w:rFonts w:ascii="Times New Roman" w:hAnsi="Times New Roman" w:cs="Times New Roman"/>
          <w:szCs w:val="24"/>
        </w:rPr>
      </w:pPr>
      <w:r w:rsidRPr="00047AD5">
        <w:rPr>
          <w:rFonts w:ascii="Times New Roman" w:hAnsi="Times New Roman" w:cs="Times New Roman"/>
          <w:b/>
          <w:bCs/>
          <w:szCs w:val="24"/>
        </w:rPr>
        <w:t>Recommendation to Continue a Program of Quality and Promise</w:t>
      </w:r>
      <w:r w:rsidRPr="00047AD5">
        <w:rPr>
          <w:rFonts w:ascii="Times New Roman" w:hAnsi="Times New Roman" w:cs="Times New Roman"/>
          <w:szCs w:val="24"/>
        </w:rPr>
        <w:t>: Program approval is recommended with identification of specific areas that need to be further developed and a notation of specific areas of achievement. These programs will be recommended for a five-year review cycle.</w:t>
      </w:r>
    </w:p>
    <w:p w14:paraId="28925D67" w14:textId="77777777" w:rsidR="0036339F" w:rsidRPr="00047AD5" w:rsidRDefault="0036339F" w:rsidP="00F25251">
      <w:pPr>
        <w:numPr>
          <w:ilvl w:val="0"/>
          <w:numId w:val="1"/>
        </w:numPr>
        <w:tabs>
          <w:tab w:val="left" w:pos="540"/>
          <w:tab w:val="left" w:pos="1260"/>
          <w:tab w:val="left" w:pos="1620"/>
          <w:tab w:val="left" w:pos="2160"/>
        </w:tabs>
        <w:spacing w:after="0" w:line="240" w:lineRule="auto"/>
        <w:ind w:left="810"/>
        <w:outlineLvl w:val="0"/>
        <w:rPr>
          <w:rFonts w:ascii="Times New Roman" w:hAnsi="Times New Roman" w:cs="Times New Roman"/>
          <w:bCs/>
          <w:szCs w:val="24"/>
        </w:rPr>
      </w:pPr>
      <w:r w:rsidRPr="00047AD5">
        <w:rPr>
          <w:rFonts w:ascii="Times New Roman" w:hAnsi="Times New Roman" w:cs="Times New Roman"/>
          <w:b/>
          <w:bCs/>
          <w:szCs w:val="24"/>
        </w:rPr>
        <w:lastRenderedPageBreak/>
        <w:t>Recommendation of Conditional Continuation</w:t>
      </w:r>
      <w:r w:rsidRPr="00047AD5">
        <w:rPr>
          <w:rFonts w:ascii="Times New Roman" w:hAnsi="Times New Roman" w:cs="Times New Roman"/>
          <w:szCs w:val="24"/>
        </w:rPr>
        <w:t xml:space="preserve">:  Conditional approval is recommended with identification of specific areas requiring significant improvement and a reasonable period of time for making these improvements. These programs will be placed on a five-year review cycle with an interim report to be delivered to the AVP-PAA in three years. The contents of the interim report will address the issues raised in the previous review. </w:t>
      </w:r>
    </w:p>
    <w:p w14:paraId="1216103D" w14:textId="77777777" w:rsidR="0036339F" w:rsidRPr="00BB3B84" w:rsidRDefault="0036339F" w:rsidP="00F25251">
      <w:pPr>
        <w:pStyle w:val="ColorfulList-Accent11"/>
        <w:tabs>
          <w:tab w:val="left" w:pos="540"/>
          <w:tab w:val="left" w:pos="1080"/>
          <w:tab w:val="left" w:pos="1620"/>
          <w:tab w:val="left" w:pos="2160"/>
        </w:tabs>
        <w:ind w:left="810"/>
      </w:pPr>
    </w:p>
    <w:p w14:paraId="7379A323" w14:textId="77777777" w:rsidR="0036339F" w:rsidRPr="00BB3B84" w:rsidRDefault="0036339F" w:rsidP="00AF0159">
      <w:pPr>
        <w:tabs>
          <w:tab w:val="left" w:pos="720"/>
          <w:tab w:val="left" w:pos="1080"/>
          <w:tab w:val="left" w:pos="1260"/>
          <w:tab w:val="left" w:pos="1620"/>
          <w:tab w:val="left" w:pos="2160"/>
        </w:tabs>
        <w:outlineLvl w:val="0"/>
        <w:rPr>
          <w:rFonts w:ascii="Times New Roman" w:hAnsi="Times New Roman" w:cs="Times New Roman"/>
          <w:sz w:val="24"/>
          <w:szCs w:val="24"/>
        </w:rPr>
      </w:pPr>
      <w:r w:rsidRPr="00BB3B84">
        <w:rPr>
          <w:rFonts w:ascii="Times New Roman" w:hAnsi="Times New Roman" w:cs="Times New Roman"/>
          <w:sz w:val="24"/>
          <w:szCs w:val="24"/>
        </w:rPr>
        <w:t xml:space="preserve">The </w:t>
      </w:r>
      <w:r w:rsidR="00066C00">
        <w:rPr>
          <w:rFonts w:ascii="Times New Roman" w:hAnsi="Times New Roman" w:cs="Times New Roman"/>
          <w:sz w:val="24"/>
          <w:szCs w:val="24"/>
        </w:rPr>
        <w:t>D</w:t>
      </w:r>
      <w:r w:rsidR="0085744B" w:rsidRPr="00BB3B84">
        <w:rPr>
          <w:rFonts w:ascii="Times New Roman" w:hAnsi="Times New Roman" w:cs="Times New Roman"/>
          <w:sz w:val="24"/>
          <w:szCs w:val="24"/>
        </w:rPr>
        <w:t>PR</w:t>
      </w:r>
      <w:r w:rsidRPr="00BB3B84">
        <w:rPr>
          <w:rFonts w:ascii="Times New Roman" w:hAnsi="Times New Roman" w:cs="Times New Roman"/>
          <w:sz w:val="24"/>
          <w:szCs w:val="24"/>
        </w:rPr>
        <w:t xml:space="preserve"> culminates in an MOU, agreed upon by all parties to the review, consisting of steps for improvement to be taken by the program and administration during the next review cycle. Items agreed upon during the MOU process, especially those with resource implications, are then included in College Strategic Plans and submitted to Academic Affairs. </w:t>
      </w:r>
    </w:p>
    <w:p w14:paraId="1C7471A6" w14:textId="02AE92AB" w:rsidR="0036339F" w:rsidRPr="00BB3B84" w:rsidRDefault="0036339F" w:rsidP="00AF0159">
      <w:pPr>
        <w:rPr>
          <w:rFonts w:ascii="Times New Roman" w:hAnsi="Times New Roman" w:cs="Times New Roman"/>
          <w:sz w:val="24"/>
          <w:szCs w:val="24"/>
        </w:rPr>
      </w:pPr>
      <w:r w:rsidRPr="00BB3B84">
        <w:rPr>
          <w:rFonts w:ascii="Times New Roman" w:hAnsi="Times New Roman" w:cs="Times New Roman"/>
          <w:sz w:val="24"/>
          <w:szCs w:val="24"/>
        </w:rPr>
        <w:t xml:space="preserve">The </w:t>
      </w:r>
      <w:r w:rsidR="0085744B" w:rsidRPr="00BB3B84">
        <w:rPr>
          <w:rFonts w:ascii="Times New Roman" w:hAnsi="Times New Roman" w:cs="Times New Roman"/>
          <w:sz w:val="24"/>
          <w:szCs w:val="24"/>
        </w:rPr>
        <w:t xml:space="preserve">2011 PR policy </w:t>
      </w:r>
      <w:r w:rsidRPr="00BB3B84">
        <w:rPr>
          <w:rFonts w:ascii="Times New Roman" w:hAnsi="Times New Roman" w:cs="Times New Roman"/>
          <w:sz w:val="24"/>
          <w:szCs w:val="24"/>
        </w:rPr>
        <w:t>MOU process has resulted in agreement about significant changes for program improvement to be undertaken by program faculty and the University administration. The most common changes include: additional resources for tenure-track faculty and staff hires;</w:t>
      </w:r>
      <w:r w:rsidR="008F0717" w:rsidRPr="00BB3B84">
        <w:rPr>
          <w:rFonts w:ascii="Times New Roman" w:hAnsi="Times New Roman" w:cs="Times New Roman"/>
          <w:sz w:val="24"/>
          <w:szCs w:val="24"/>
        </w:rPr>
        <w:t xml:space="preserve"> enhanced facilities (</w:t>
      </w:r>
      <w:r w:rsidRPr="00BB3B84">
        <w:rPr>
          <w:rFonts w:ascii="Times New Roman" w:hAnsi="Times New Roman" w:cs="Times New Roman"/>
          <w:sz w:val="24"/>
          <w:szCs w:val="24"/>
        </w:rPr>
        <w:t>including laboratories</w:t>
      </w:r>
      <w:r w:rsidR="008F0717" w:rsidRPr="00BB3B84">
        <w:rPr>
          <w:rFonts w:ascii="Times New Roman" w:hAnsi="Times New Roman" w:cs="Times New Roman"/>
          <w:sz w:val="24"/>
          <w:szCs w:val="24"/>
        </w:rPr>
        <w:t>)</w:t>
      </w:r>
      <w:r w:rsidRPr="00BB3B84">
        <w:rPr>
          <w:rFonts w:ascii="Times New Roman" w:hAnsi="Times New Roman" w:cs="Times New Roman"/>
          <w:sz w:val="24"/>
          <w:szCs w:val="24"/>
        </w:rPr>
        <w:t xml:space="preserve"> needed to deliver program  curricula; PSLO development and mapping</w:t>
      </w:r>
      <w:r w:rsidR="00F703A1">
        <w:rPr>
          <w:rFonts w:ascii="Times New Roman" w:hAnsi="Times New Roman" w:cs="Times New Roman"/>
          <w:sz w:val="24"/>
          <w:szCs w:val="24"/>
        </w:rPr>
        <w:t xml:space="preserve"> </w:t>
      </w:r>
      <w:r w:rsidRPr="00BB3B84">
        <w:rPr>
          <w:rFonts w:ascii="Times New Roman" w:hAnsi="Times New Roman" w:cs="Times New Roman"/>
          <w:sz w:val="24"/>
          <w:szCs w:val="24"/>
        </w:rPr>
        <w:t xml:space="preserve">PSLOs to courses on PSLO matrices; development of meaningful assessment strategies that follow the University practice of focusing Annual Assessments on student mastery of program PSLOs; use of Annual Assessment data for program-level change; program restructuring and curriculum development; revisiting inclusion of particular courses as well as the overall extent of program participation in GE. </w:t>
      </w:r>
    </w:p>
    <w:p w14:paraId="7E82CCEC" w14:textId="4F9CC285" w:rsidR="00102AFA" w:rsidRDefault="0076222F" w:rsidP="00AF01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E5AE296" wp14:editId="4501FEC0">
                <wp:simplePos x="0" y="0"/>
                <wp:positionH relativeFrom="column">
                  <wp:posOffset>4464826</wp:posOffset>
                </wp:positionH>
                <wp:positionV relativeFrom="paragraph">
                  <wp:posOffset>369499</wp:posOffset>
                </wp:positionV>
                <wp:extent cx="1998980" cy="3194050"/>
                <wp:effectExtent l="114300" t="114300" r="153670" b="158750"/>
                <wp:wrapTight wrapText="bothSides">
                  <wp:wrapPolygon edited="0">
                    <wp:start x="-823" y="-773"/>
                    <wp:lineTo x="-1235" y="-515"/>
                    <wp:lineTo x="-1029" y="22158"/>
                    <wp:lineTo x="-823" y="22545"/>
                    <wp:lineTo x="22849" y="22545"/>
                    <wp:lineTo x="23055" y="1546"/>
                    <wp:lineTo x="22437" y="-386"/>
                    <wp:lineTo x="22437" y="-773"/>
                    <wp:lineTo x="-823" y="-773"/>
                  </wp:wrapPolygon>
                </wp:wrapTight>
                <wp:docPr id="2" name="Flowchart: Process 2"/>
                <wp:cNvGraphicFramePr/>
                <a:graphic xmlns:a="http://schemas.openxmlformats.org/drawingml/2006/main">
                  <a:graphicData uri="http://schemas.microsoft.com/office/word/2010/wordprocessingShape">
                    <wps:wsp>
                      <wps:cNvSpPr/>
                      <wps:spPr>
                        <a:xfrm>
                          <a:off x="0" y="0"/>
                          <a:ext cx="1998980" cy="3194050"/>
                        </a:xfrm>
                        <a:prstGeom prst="flowChartProcess">
                          <a:avLst/>
                        </a:prstGeom>
                        <a:ln cap="rnd"/>
                        <a:effectLst>
                          <a:glow rad="101600">
                            <a:schemeClr val="accent1">
                              <a:satMod val="175000"/>
                              <a:alpha val="40000"/>
                            </a:schemeClr>
                          </a:glow>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5C89F0" w14:textId="3BEA5F3B" w:rsidR="005048EB" w:rsidRDefault="005048EB" w:rsidP="00E154CA">
                            <w:pPr>
                              <w:jc w:val="center"/>
                            </w:pPr>
                            <w:r>
                              <w:t>Case Study – Program Review</w:t>
                            </w:r>
                          </w:p>
                          <w:p w14:paraId="16E074B7" w14:textId="098F170F" w:rsidR="005048EB" w:rsidRDefault="005048EB" w:rsidP="0076222F">
                            <w:r>
                              <w:t>The B.S. degree in Biology was in the first cohort to undergo the revised DPR process.  One of the key findings of the external reviewers, and a noted action item in the MOU, was that the Biological Sciences Department was lacking faculty in a specific instructional and research area.   As of Spring 2015, an active search is underway to hire a new tenure-track faculty to fill this noted void.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5AE296" id="_x0000_t109" coordsize="21600,21600" o:spt="109" path="m,l,21600r21600,l21600,xe">
                <v:stroke joinstyle="miter"/>
                <v:path gradientshapeok="t" o:connecttype="rect"/>
              </v:shapetype>
              <v:shape id="Flowchart: Process 2" o:spid="_x0000_s1026" type="#_x0000_t109" style="position:absolute;margin-left:351.55pt;margin-top:29.1pt;width:157.4pt;height:2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" fillcolor="#4f81bd [3204]" strokecolor="#243f60 [1604]" strokeweight="2pt">
                <v:stroke endcap="round"/>
                <v:shadow on="t" color="black" opacity="26214f" origin="-.5,-.5" offset=".74836mm,.74836mm"/>
                <v:textbox>
                  <w:txbxContent>
                    <w:p w14:paraId="725C89F0" w14:textId="3BEA5F3B" w:rsidR="005048EB" w:rsidRDefault="005048EB" w:rsidP="00E154CA">
                      <w:pPr>
                        <w:jc w:val="center"/>
                      </w:pPr>
                      <w:r>
                        <w:t>Case Study – Program Review</w:t>
                      </w:r>
                    </w:p>
                    <w:p w14:paraId="16E074B7" w14:textId="098F170F" w:rsidR="005048EB" w:rsidRDefault="005048EB" w:rsidP="0076222F">
                      <w:r>
                        <w:t>The B.S. degree in Biology was in the first cohort to undergo the revised DPR process.  One of the key findings of the external reviewers, and a noted action item in the MOU, was that the Biological Sciences Department was lacking faculty in a specific instructional and research area.   As of Spring 2015, an active search is underway to hire a new tenure-track faculty to fill this noted void.</w:t>
                      </w:r>
                    </w:p>
                  </w:txbxContent>
                </v:textbox>
                <w10:wrap type="tight"/>
              </v:shape>
            </w:pict>
          </mc:Fallback>
        </mc:AlternateContent>
      </w:r>
      <w:r w:rsidR="00A948F5">
        <w:rPr>
          <w:rFonts w:ascii="Times New Roman" w:hAnsi="Times New Roman" w:cs="Times New Roman"/>
          <w:sz w:val="24"/>
          <w:szCs w:val="24"/>
          <w:u w:val="single"/>
        </w:rPr>
        <w:t xml:space="preserve">6.2.2 </w:t>
      </w:r>
      <w:r w:rsidR="0085744B" w:rsidRPr="00BB3B84">
        <w:rPr>
          <w:rFonts w:ascii="Times New Roman" w:hAnsi="Times New Roman" w:cs="Times New Roman"/>
          <w:sz w:val="24"/>
          <w:szCs w:val="24"/>
          <w:u w:val="single"/>
        </w:rPr>
        <w:t xml:space="preserve">Status of new </w:t>
      </w:r>
      <w:r w:rsidR="00066C00">
        <w:rPr>
          <w:rFonts w:ascii="Times New Roman" w:hAnsi="Times New Roman" w:cs="Times New Roman"/>
          <w:sz w:val="24"/>
          <w:szCs w:val="24"/>
          <w:u w:val="single"/>
        </w:rPr>
        <w:t>D</w:t>
      </w:r>
      <w:r w:rsidR="0085744B" w:rsidRPr="00BB3B84">
        <w:rPr>
          <w:rFonts w:ascii="Times New Roman" w:hAnsi="Times New Roman" w:cs="Times New Roman"/>
          <w:sz w:val="24"/>
          <w:szCs w:val="24"/>
          <w:u w:val="single"/>
        </w:rPr>
        <w:t>PR process</w:t>
      </w:r>
      <w:r w:rsidR="0085744B" w:rsidRPr="00BB3B84">
        <w:rPr>
          <w:rFonts w:ascii="Times New Roman" w:hAnsi="Times New Roman" w:cs="Times New Roman"/>
          <w:sz w:val="24"/>
          <w:szCs w:val="24"/>
        </w:rPr>
        <w:t xml:space="preserve"> - </w:t>
      </w:r>
      <w:r w:rsidR="0036339F" w:rsidRPr="00BB3B84">
        <w:rPr>
          <w:rFonts w:ascii="Times New Roman" w:hAnsi="Times New Roman" w:cs="Times New Roman"/>
          <w:sz w:val="24"/>
          <w:szCs w:val="24"/>
        </w:rPr>
        <w:t>By the end</w:t>
      </w:r>
      <w:r w:rsidR="008F0717" w:rsidRPr="00BB3B84">
        <w:rPr>
          <w:rFonts w:ascii="Times New Roman" w:hAnsi="Times New Roman" w:cs="Times New Roman"/>
          <w:sz w:val="24"/>
          <w:szCs w:val="24"/>
        </w:rPr>
        <w:t xml:space="preserve"> of the 2014-</w:t>
      </w:r>
      <w:r w:rsidR="00F11CB7">
        <w:rPr>
          <w:rFonts w:ascii="Times New Roman" w:hAnsi="Times New Roman" w:cs="Times New Roman"/>
          <w:sz w:val="24"/>
          <w:szCs w:val="24"/>
        </w:rPr>
        <w:t xml:space="preserve">15 AY nearly half of all academic programs </w:t>
      </w:r>
      <w:r w:rsidR="0036339F" w:rsidRPr="00BB3B84">
        <w:rPr>
          <w:rFonts w:ascii="Times New Roman" w:hAnsi="Times New Roman" w:cs="Times New Roman"/>
          <w:sz w:val="24"/>
          <w:szCs w:val="24"/>
        </w:rPr>
        <w:t>will have completed their reviews</w:t>
      </w:r>
      <w:r w:rsidR="00F11CB7">
        <w:rPr>
          <w:rFonts w:ascii="Times New Roman" w:hAnsi="Times New Roman" w:cs="Times New Roman"/>
          <w:sz w:val="24"/>
          <w:szCs w:val="24"/>
        </w:rPr>
        <w:t xml:space="preserve"> under the new policy</w:t>
      </w:r>
      <w:r w:rsidR="0058583A">
        <w:rPr>
          <w:rFonts w:ascii="Times New Roman" w:hAnsi="Times New Roman" w:cs="Times New Roman"/>
          <w:sz w:val="24"/>
          <w:szCs w:val="24"/>
        </w:rPr>
        <w:t xml:space="preserve"> (</w:t>
      </w:r>
      <w:hyperlink r:id="rId12" w:history="1">
        <w:r w:rsidR="0058583A" w:rsidRPr="0058583A">
          <w:rPr>
            <w:rStyle w:val="Hyperlink"/>
            <w:rFonts w:ascii="Times New Roman" w:hAnsi="Times New Roman" w:cs="Times New Roman"/>
            <w:sz w:val="24"/>
            <w:szCs w:val="24"/>
          </w:rPr>
          <w:t>calendar of revie</w:t>
        </w:r>
        <w:r w:rsidR="0058583A">
          <w:rPr>
            <w:rStyle w:val="Hyperlink"/>
            <w:rFonts w:ascii="Times New Roman" w:hAnsi="Times New Roman" w:cs="Times New Roman"/>
            <w:sz w:val="24"/>
            <w:szCs w:val="24"/>
          </w:rPr>
          <w:t>ws</w:t>
        </w:r>
      </w:hyperlink>
      <w:r w:rsidR="0058583A">
        <w:rPr>
          <w:rFonts w:ascii="Times New Roman" w:hAnsi="Times New Roman" w:cs="Times New Roman"/>
          <w:sz w:val="24"/>
          <w:szCs w:val="24"/>
        </w:rPr>
        <w:t>)</w:t>
      </w:r>
      <w:r w:rsidR="0036339F" w:rsidRPr="00BB3B84">
        <w:rPr>
          <w:rFonts w:ascii="Times New Roman" w:hAnsi="Times New Roman" w:cs="Times New Roman"/>
          <w:sz w:val="24"/>
          <w:szCs w:val="24"/>
        </w:rPr>
        <w:t xml:space="preserve">. To this point, the new </w:t>
      </w:r>
      <w:r w:rsidR="0058583A">
        <w:rPr>
          <w:rFonts w:ascii="Times New Roman" w:hAnsi="Times New Roman" w:cs="Times New Roman"/>
          <w:sz w:val="24"/>
          <w:szCs w:val="24"/>
        </w:rPr>
        <w:t>DPR</w:t>
      </w:r>
      <w:r w:rsidR="0036339F" w:rsidRPr="00BB3B84">
        <w:rPr>
          <w:rFonts w:ascii="Times New Roman" w:hAnsi="Times New Roman" w:cs="Times New Roman"/>
          <w:sz w:val="24"/>
          <w:szCs w:val="24"/>
        </w:rPr>
        <w:t xml:space="preserve"> process appears to be effective as measured by faculty acceptance of the new Policy and appreciation for improvements compared to the previous review process. In particular, faculty recognize that the intent and spirit of </w:t>
      </w:r>
      <w:r w:rsidR="0058583A">
        <w:rPr>
          <w:rFonts w:ascii="Times New Roman" w:hAnsi="Times New Roman" w:cs="Times New Roman"/>
          <w:sz w:val="24"/>
          <w:szCs w:val="24"/>
        </w:rPr>
        <w:t>DPR</w:t>
      </w:r>
      <w:r w:rsidR="0036339F" w:rsidRPr="00BB3B84">
        <w:rPr>
          <w:rFonts w:ascii="Times New Roman" w:hAnsi="Times New Roman" w:cs="Times New Roman"/>
          <w:sz w:val="24"/>
          <w:szCs w:val="24"/>
        </w:rPr>
        <w:t xml:space="preserve"> is to encourage meaningful reviews consisting of candid assessments of program strengths and challenges and to support efforts to achieve program improvement. Yet, key to determining the effectiveness of the </w:t>
      </w:r>
      <w:r w:rsidR="0058583A">
        <w:rPr>
          <w:rFonts w:ascii="Times New Roman" w:hAnsi="Times New Roman" w:cs="Times New Roman"/>
          <w:sz w:val="24"/>
          <w:szCs w:val="24"/>
        </w:rPr>
        <w:t>DPR</w:t>
      </w:r>
      <w:r w:rsidR="0036339F" w:rsidRPr="00BB3B84">
        <w:rPr>
          <w:rFonts w:ascii="Times New Roman" w:hAnsi="Times New Roman" w:cs="Times New Roman"/>
          <w:sz w:val="24"/>
          <w:szCs w:val="24"/>
        </w:rPr>
        <w:t xml:space="preserve"> process is the extent to which the results of </w:t>
      </w:r>
      <w:r w:rsidR="0058583A">
        <w:rPr>
          <w:rFonts w:ascii="Times New Roman" w:hAnsi="Times New Roman" w:cs="Times New Roman"/>
          <w:sz w:val="24"/>
          <w:szCs w:val="24"/>
        </w:rPr>
        <w:t>DPR</w:t>
      </w:r>
      <w:r w:rsidR="0036339F" w:rsidRPr="00BB3B84">
        <w:rPr>
          <w:rFonts w:ascii="Times New Roman" w:hAnsi="Times New Roman" w:cs="Times New Roman"/>
          <w:sz w:val="24"/>
          <w:szCs w:val="24"/>
        </w:rPr>
        <w:t xml:space="preserve"> will actually be used to inform decision making and to improve instruction and student learning outcomes. However, because programs and the administration are </w:t>
      </w:r>
      <w:r w:rsidR="0058583A">
        <w:rPr>
          <w:rFonts w:ascii="Times New Roman" w:hAnsi="Times New Roman" w:cs="Times New Roman"/>
          <w:sz w:val="24"/>
          <w:szCs w:val="24"/>
        </w:rPr>
        <w:t xml:space="preserve">still </w:t>
      </w:r>
      <w:r w:rsidR="0036339F" w:rsidRPr="00BB3B84">
        <w:rPr>
          <w:rFonts w:ascii="Times New Roman" w:hAnsi="Times New Roman" w:cs="Times New Roman"/>
          <w:sz w:val="24"/>
          <w:szCs w:val="24"/>
        </w:rPr>
        <w:t xml:space="preserve">in the process of implementing the terms of the first round of MOUs, the effectiveness of the review process cannot yet be </w:t>
      </w:r>
      <w:r w:rsidR="0058583A">
        <w:rPr>
          <w:rFonts w:ascii="Times New Roman" w:hAnsi="Times New Roman" w:cs="Times New Roman"/>
          <w:sz w:val="24"/>
          <w:szCs w:val="24"/>
        </w:rPr>
        <w:t xml:space="preserve">fully </w:t>
      </w:r>
      <w:r w:rsidR="0036339F" w:rsidRPr="00BB3B84">
        <w:rPr>
          <w:rFonts w:ascii="Times New Roman" w:hAnsi="Times New Roman" w:cs="Times New Roman"/>
          <w:sz w:val="24"/>
          <w:szCs w:val="24"/>
        </w:rPr>
        <w:t xml:space="preserve">determined. Thus, the campus will reach an important milestone </w:t>
      </w:r>
      <w:r w:rsidR="0058583A">
        <w:rPr>
          <w:rFonts w:ascii="Times New Roman" w:hAnsi="Times New Roman" w:cs="Times New Roman"/>
          <w:sz w:val="24"/>
          <w:szCs w:val="24"/>
        </w:rPr>
        <w:t xml:space="preserve">at the end of AY 2017/2018 </w:t>
      </w:r>
      <w:r w:rsidR="0036339F" w:rsidRPr="00BB3B84">
        <w:rPr>
          <w:rFonts w:ascii="Times New Roman" w:hAnsi="Times New Roman" w:cs="Times New Roman"/>
          <w:sz w:val="24"/>
          <w:szCs w:val="24"/>
        </w:rPr>
        <w:t>for assessing the effectiveness of the review process when the programs that have undergone review under the new Policy report on the extent to which they and the administration have adhered to the steps agreed upon in the previous review’s MOU.</w:t>
      </w:r>
      <w:r w:rsidR="0058583A">
        <w:rPr>
          <w:rFonts w:ascii="Times New Roman" w:hAnsi="Times New Roman" w:cs="Times New Roman"/>
          <w:sz w:val="24"/>
          <w:szCs w:val="24"/>
        </w:rPr>
        <w:t xml:space="preserve"> A few minor policy changes have been made to improve the process and timing issues (</w:t>
      </w:r>
      <w:r w:rsidR="00221238" w:rsidRPr="00221238">
        <w:rPr>
          <w:rFonts w:ascii="Times New Roman" w:hAnsi="Times New Roman" w:cs="Times New Roman"/>
          <w:sz w:val="24"/>
          <w:szCs w:val="24"/>
          <w:highlight w:val="cyan"/>
        </w:rPr>
        <w:t xml:space="preserve">give </w:t>
      </w:r>
      <w:r w:rsidR="0058583A" w:rsidRPr="00221238">
        <w:rPr>
          <w:rFonts w:ascii="Times New Roman" w:hAnsi="Times New Roman" w:cs="Times New Roman"/>
          <w:sz w:val="24"/>
          <w:szCs w:val="24"/>
          <w:highlight w:val="cyan"/>
        </w:rPr>
        <w:t>details?</w:t>
      </w:r>
      <w:r w:rsidR="0058583A">
        <w:rPr>
          <w:rFonts w:ascii="Times New Roman" w:hAnsi="Times New Roman" w:cs="Times New Roman"/>
          <w:sz w:val="24"/>
          <w:szCs w:val="24"/>
        </w:rPr>
        <w:t xml:space="preserve">).  </w:t>
      </w:r>
      <w:r w:rsidR="0036339F" w:rsidRPr="00BB3B84">
        <w:rPr>
          <w:rFonts w:ascii="Times New Roman" w:hAnsi="Times New Roman" w:cs="Times New Roman"/>
          <w:sz w:val="24"/>
          <w:szCs w:val="24"/>
        </w:rPr>
        <w:t xml:space="preserve"> </w:t>
      </w:r>
    </w:p>
    <w:p w14:paraId="38FC3E84" w14:textId="77777777" w:rsidR="00F25251" w:rsidRDefault="00F25251" w:rsidP="00221238">
      <w:pPr>
        <w:ind w:left="540"/>
        <w:rPr>
          <w:rFonts w:ascii="Times New Roman" w:hAnsi="Times New Roman" w:cs="Times New Roman"/>
          <w:b/>
          <w:sz w:val="24"/>
          <w:szCs w:val="24"/>
        </w:rPr>
      </w:pPr>
    </w:p>
    <w:p w14:paraId="3FF71D01" w14:textId="77777777" w:rsidR="00F25251" w:rsidRDefault="00F25251" w:rsidP="00221238">
      <w:pPr>
        <w:ind w:left="540"/>
        <w:rPr>
          <w:rFonts w:ascii="Times New Roman" w:hAnsi="Times New Roman" w:cs="Times New Roman"/>
          <w:b/>
          <w:sz w:val="24"/>
          <w:szCs w:val="24"/>
        </w:rPr>
      </w:pPr>
    </w:p>
    <w:p w14:paraId="7AFC7CA1" w14:textId="4BDF46E0" w:rsidR="00843EFA" w:rsidRDefault="00A948F5" w:rsidP="00F25251">
      <w:pPr>
        <w:ind w:left="540"/>
        <w:jc w:val="center"/>
        <w:rPr>
          <w:rFonts w:ascii="Times New Roman" w:hAnsi="Times New Roman" w:cs="Times New Roman"/>
          <w:b/>
          <w:sz w:val="32"/>
          <w:szCs w:val="24"/>
        </w:rPr>
      </w:pPr>
      <w:r>
        <w:rPr>
          <w:rFonts w:ascii="Times New Roman" w:hAnsi="Times New Roman" w:cs="Times New Roman"/>
          <w:b/>
          <w:sz w:val="32"/>
          <w:szCs w:val="24"/>
        </w:rPr>
        <w:t xml:space="preserve">6.3 </w:t>
      </w:r>
      <w:r w:rsidR="00843EFA" w:rsidRPr="00F25251">
        <w:rPr>
          <w:rFonts w:ascii="Times New Roman" w:hAnsi="Times New Roman" w:cs="Times New Roman"/>
          <w:b/>
          <w:sz w:val="32"/>
          <w:szCs w:val="24"/>
        </w:rPr>
        <w:t>Data</w:t>
      </w:r>
      <w:r w:rsidR="000B739E" w:rsidRPr="00F25251">
        <w:rPr>
          <w:rFonts w:ascii="Times New Roman" w:hAnsi="Times New Roman" w:cs="Times New Roman"/>
          <w:b/>
          <w:sz w:val="32"/>
          <w:szCs w:val="24"/>
        </w:rPr>
        <w:t xml:space="preserve"> </w:t>
      </w:r>
      <w:r w:rsidR="00C80D29">
        <w:rPr>
          <w:rFonts w:ascii="Times New Roman" w:hAnsi="Times New Roman" w:cs="Times New Roman"/>
          <w:b/>
          <w:sz w:val="32"/>
          <w:szCs w:val="24"/>
        </w:rPr>
        <w:t>Collection, Analysis and Dissemination</w:t>
      </w:r>
    </w:p>
    <w:p w14:paraId="5034C08D" w14:textId="507F27AC" w:rsidR="00AF0159" w:rsidRPr="00A23AA0" w:rsidRDefault="00AF0159" w:rsidP="00F25251">
      <w:pPr>
        <w:ind w:left="540"/>
        <w:jc w:val="center"/>
        <w:rPr>
          <w:rFonts w:ascii="Times New Roman" w:hAnsi="Times New Roman" w:cs="Times New Roman"/>
          <w:b/>
          <w:i/>
          <w:sz w:val="24"/>
          <w:szCs w:val="24"/>
        </w:rPr>
      </w:pPr>
      <w:r w:rsidRPr="00A23AA0">
        <w:rPr>
          <w:rFonts w:ascii="Times New Roman" w:hAnsi="Times New Roman" w:cs="Times New Roman"/>
          <w:b/>
          <w:i/>
          <w:sz w:val="24"/>
          <w:szCs w:val="24"/>
        </w:rPr>
        <w:t xml:space="preserve">(CFRs 2.10, 4.2-4.7) </w:t>
      </w:r>
    </w:p>
    <w:p w14:paraId="43463947" w14:textId="734343CE" w:rsidR="00102AFA" w:rsidRPr="00102AFA" w:rsidRDefault="00102AFA" w:rsidP="00A23AA0">
      <w:pPr>
        <w:rPr>
          <w:rFonts w:ascii="Times New Roman" w:hAnsi="Times New Roman" w:cs="Times New Roman"/>
          <w:sz w:val="24"/>
          <w:szCs w:val="24"/>
        </w:rPr>
      </w:pPr>
      <w:r w:rsidRPr="00102AFA">
        <w:rPr>
          <w:rFonts w:ascii="Times New Roman" w:hAnsi="Times New Roman" w:cs="Times New Roman"/>
          <w:sz w:val="24"/>
          <w:szCs w:val="24"/>
        </w:rPr>
        <w:t xml:space="preserve">CSUSM has a strong commitment to make data-driven decisions.  This institutional aim requires a coherent and consolidated system to satisfy the needs of campus data aggregation, reporting, analysis, and delivery.  The data used for </w:t>
      </w:r>
      <w:r w:rsidR="00C80D29">
        <w:rPr>
          <w:rFonts w:ascii="Times New Roman" w:hAnsi="Times New Roman" w:cs="Times New Roman"/>
          <w:sz w:val="24"/>
          <w:szCs w:val="24"/>
        </w:rPr>
        <w:t xml:space="preserve">assessment, </w:t>
      </w:r>
      <w:r w:rsidR="00F25251">
        <w:rPr>
          <w:rFonts w:ascii="Times New Roman" w:hAnsi="Times New Roman" w:cs="Times New Roman"/>
          <w:sz w:val="24"/>
          <w:szCs w:val="24"/>
        </w:rPr>
        <w:t xml:space="preserve">degree </w:t>
      </w:r>
      <w:r w:rsidRPr="00102AFA">
        <w:rPr>
          <w:rFonts w:ascii="Times New Roman" w:hAnsi="Times New Roman" w:cs="Times New Roman"/>
          <w:sz w:val="24"/>
          <w:szCs w:val="24"/>
        </w:rPr>
        <w:t xml:space="preserve">program review, and other investigations are generated by several entities and programs on campus.  </w:t>
      </w:r>
    </w:p>
    <w:p w14:paraId="2233AE5A" w14:textId="57D42D91" w:rsidR="00102AFA" w:rsidRPr="00102AFA" w:rsidRDefault="00980C82" w:rsidP="00A23AA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40D74807" wp14:editId="2D90D80D">
                <wp:simplePos x="0" y="0"/>
                <wp:positionH relativeFrom="margin">
                  <wp:align>left</wp:align>
                </wp:positionH>
                <wp:positionV relativeFrom="paragraph">
                  <wp:posOffset>351411</wp:posOffset>
                </wp:positionV>
                <wp:extent cx="2162810" cy="4378960"/>
                <wp:effectExtent l="114300" t="114300" r="161290" b="154940"/>
                <wp:wrapTight wrapText="bothSides">
                  <wp:wrapPolygon edited="0">
                    <wp:start x="-761" y="-564"/>
                    <wp:lineTo x="-1142" y="-376"/>
                    <wp:lineTo x="-1142" y="20673"/>
                    <wp:lineTo x="-761" y="22270"/>
                    <wp:lineTo x="22830" y="22270"/>
                    <wp:lineTo x="23021" y="1128"/>
                    <wp:lineTo x="22450" y="-282"/>
                    <wp:lineTo x="22450" y="-564"/>
                    <wp:lineTo x="-761" y="-564"/>
                  </wp:wrapPolygon>
                </wp:wrapTight>
                <wp:docPr id="4" name="Flowchart: Process 4"/>
                <wp:cNvGraphicFramePr/>
                <a:graphic xmlns:a="http://schemas.openxmlformats.org/drawingml/2006/main">
                  <a:graphicData uri="http://schemas.microsoft.com/office/word/2010/wordprocessingShape">
                    <wps:wsp>
                      <wps:cNvSpPr/>
                      <wps:spPr>
                        <a:xfrm>
                          <a:off x="0" y="0"/>
                          <a:ext cx="2162810" cy="4378960"/>
                        </a:xfrm>
                        <a:prstGeom prst="flowChartProcess">
                          <a:avLst/>
                        </a:prstGeom>
                        <a:solidFill>
                          <a:srgbClr val="4F81BD"/>
                        </a:solidFill>
                        <a:ln w="25400" cap="rnd" cmpd="sng" algn="ctr">
                          <a:solidFill>
                            <a:srgbClr val="4F81BD">
                              <a:shade val="50000"/>
                            </a:srgbClr>
                          </a:solidFill>
                          <a:prstDash val="solid"/>
                        </a:ln>
                        <a:effectLst>
                          <a:glow rad="101600">
                            <a:srgbClr val="4F81BD">
                              <a:satMod val="175000"/>
                              <a:alpha val="40000"/>
                            </a:srgbClr>
                          </a:glow>
                          <a:outerShdw blurRad="50800" dist="38100" dir="2700000" algn="tl" rotWithShape="0">
                            <a:prstClr val="black">
                              <a:alpha val="40000"/>
                            </a:prstClr>
                          </a:outerShdw>
                        </a:effectLst>
                      </wps:spPr>
                      <wps:txbx>
                        <w:txbxContent>
                          <w:p w14:paraId="407E5927" w14:textId="77777777" w:rsidR="005048EB" w:rsidRDefault="005048EB" w:rsidP="00047AD5">
                            <w:pPr>
                              <w:jc w:val="center"/>
                              <w:rPr>
                                <w:color w:val="FFFFFF" w:themeColor="background1"/>
                                <w:sz w:val="18"/>
                              </w:rPr>
                            </w:pPr>
                            <w:r w:rsidRPr="00047AD5">
                              <w:rPr>
                                <w:color w:val="FFFFFF" w:themeColor="background1"/>
                                <w:sz w:val="18"/>
                                <w:u w:val="single"/>
                              </w:rPr>
                              <w:t>Case Study –Data Driven Decisions</w:t>
                            </w:r>
                            <w:r>
                              <w:rPr>
                                <w:color w:val="FFFFFF" w:themeColor="background1"/>
                                <w:sz w:val="18"/>
                              </w:rPr>
                              <w:t xml:space="preserve">  </w:t>
                            </w:r>
                          </w:p>
                          <w:p w14:paraId="7DEFAA69" w14:textId="26E10944" w:rsidR="005048EB" w:rsidRDefault="005048EB" w:rsidP="00047AD5">
                            <w:pPr>
                              <w:rPr>
                                <w:color w:val="FFFFFF" w:themeColor="background1"/>
                                <w:sz w:val="18"/>
                              </w:rPr>
                            </w:pPr>
                            <w:r>
                              <w:rPr>
                                <w:color w:val="FFFFFF" w:themeColor="background1"/>
                                <w:sz w:val="18"/>
                              </w:rPr>
                              <w:t xml:space="preserve">The </w:t>
                            </w:r>
                            <w:r w:rsidRPr="0073328F">
                              <w:rPr>
                                <w:color w:val="FFFFFF" w:themeColor="background1"/>
                                <w:sz w:val="18"/>
                              </w:rPr>
                              <w:t>Undeclared Learning Community (ULC) was launched</w:t>
                            </w:r>
                            <w:r>
                              <w:rPr>
                                <w:color w:val="FFFFFF" w:themeColor="background1"/>
                                <w:sz w:val="18"/>
                              </w:rPr>
                              <w:t xml:space="preserve"> </w:t>
                            </w:r>
                            <w:r w:rsidR="00980C82">
                              <w:rPr>
                                <w:color w:val="FFFFFF" w:themeColor="background1"/>
                                <w:sz w:val="18"/>
                              </w:rPr>
                              <w:t xml:space="preserve">by First-Year Programs </w:t>
                            </w:r>
                            <w:r>
                              <w:rPr>
                                <w:color w:val="FFFFFF" w:themeColor="background1"/>
                                <w:sz w:val="18"/>
                              </w:rPr>
                              <w:t>in Fall 2011</w:t>
                            </w:r>
                            <w:r w:rsidRPr="0073328F">
                              <w:rPr>
                                <w:color w:val="FFFFFF" w:themeColor="background1"/>
                                <w:sz w:val="18"/>
                              </w:rPr>
                              <w:t xml:space="preserve"> to </w:t>
                            </w:r>
                            <w:r w:rsidR="00980C82">
                              <w:rPr>
                                <w:color w:val="FFFFFF" w:themeColor="background1"/>
                                <w:sz w:val="18"/>
                              </w:rPr>
                              <w:t xml:space="preserve">support </w:t>
                            </w:r>
                            <w:r>
                              <w:rPr>
                                <w:color w:val="FFFFFF" w:themeColor="background1"/>
                                <w:sz w:val="18"/>
                              </w:rPr>
                              <w:t xml:space="preserve">undeclared </w:t>
                            </w:r>
                            <w:r w:rsidR="00980C82">
                              <w:rPr>
                                <w:color w:val="FFFFFF" w:themeColor="background1"/>
                                <w:sz w:val="18"/>
                              </w:rPr>
                              <w:t>/undecided freshmen</w:t>
                            </w:r>
                            <w:r w:rsidRPr="0073328F">
                              <w:rPr>
                                <w:color w:val="FFFFFF" w:themeColor="background1"/>
                                <w:sz w:val="18"/>
                              </w:rPr>
                              <w:t>.  These student</w:t>
                            </w:r>
                            <w:r>
                              <w:rPr>
                                <w:color w:val="FFFFFF" w:themeColor="background1"/>
                                <w:sz w:val="18"/>
                              </w:rPr>
                              <w:t>s</w:t>
                            </w:r>
                            <w:r w:rsidRPr="0073328F">
                              <w:rPr>
                                <w:color w:val="FFFFFF" w:themeColor="background1"/>
                                <w:sz w:val="18"/>
                              </w:rPr>
                              <w:t xml:space="preserve"> were block enrolled into GE – Life Long Learning and Information Literacy (GEL 101) and GE –Oral Communication (GEO 102)</w:t>
                            </w:r>
                            <w:r>
                              <w:rPr>
                                <w:color w:val="FFFFFF" w:themeColor="background1"/>
                                <w:sz w:val="18"/>
                              </w:rPr>
                              <w:t xml:space="preserve">.  IPA generated data </w:t>
                            </w:r>
                            <w:r w:rsidR="00980C82">
                              <w:rPr>
                                <w:color w:val="FFFFFF" w:themeColor="background1"/>
                                <w:sz w:val="18"/>
                              </w:rPr>
                              <w:t xml:space="preserve">illustrated the increased 1-YR retention </w:t>
                            </w:r>
                            <w:r>
                              <w:rPr>
                                <w:color w:val="FFFFFF" w:themeColor="background1"/>
                                <w:sz w:val="18"/>
                              </w:rPr>
                              <w:t>of ULC participant</w:t>
                            </w:r>
                            <w:r w:rsidR="00980C82">
                              <w:rPr>
                                <w:color w:val="FFFFFF" w:themeColor="background1"/>
                                <w:sz w:val="18"/>
                              </w:rPr>
                              <w:t xml:space="preserve"> (yellow bar) over all first-time freshmen (red bar) and all undeclared (orange bar).  </w:t>
                            </w:r>
                            <w:r>
                              <w:rPr>
                                <w:color w:val="FFFFFF" w:themeColor="background1"/>
                                <w:sz w:val="18"/>
                              </w:rPr>
                              <w:t>This finding, along with student and faculty feedback</w:t>
                            </w:r>
                            <w:r w:rsidR="00826F02">
                              <w:rPr>
                                <w:color w:val="FFFFFF" w:themeColor="background1"/>
                                <w:sz w:val="18"/>
                              </w:rPr>
                              <w:t>,</w:t>
                            </w:r>
                            <w:r>
                              <w:rPr>
                                <w:color w:val="FFFFFF" w:themeColor="background1"/>
                                <w:sz w:val="18"/>
                              </w:rPr>
                              <w:t xml:space="preserve"> led to the expansion of the ULC program in successive years.  </w:t>
                            </w:r>
                          </w:p>
                          <w:p w14:paraId="2BC28202" w14:textId="3E1695BC" w:rsidR="005048EB" w:rsidRDefault="005048EB" w:rsidP="00047AD5">
                            <w:pPr>
                              <w:rPr>
                                <w:noProof/>
                              </w:rPr>
                            </w:pPr>
                            <w:r>
                              <w:rPr>
                                <w:noProof/>
                              </w:rPr>
                              <w:drawing>
                                <wp:inline distT="0" distB="0" distL="0" distR="0" wp14:anchorId="037B1FF2" wp14:editId="2ABD57A9">
                                  <wp:extent cx="1954530" cy="1447165"/>
                                  <wp:effectExtent l="0" t="0" r="762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C0E277" w14:textId="5C1BECCA" w:rsidR="005048EB" w:rsidRPr="0073328F" w:rsidRDefault="005048EB" w:rsidP="00B252E5">
                            <w:pPr>
                              <w:rPr>
                                <w:color w:val="FFFFFF" w:themeColor="background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4807" id="Flowchart: Process 4" o:spid="_x0000_s1027" type="#_x0000_t109" style="position:absolute;margin-left:0;margin-top:27.65pt;width:170.3pt;height:344.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" fillcolor="#4f81bd" strokecolor="#385d8a" strokeweight="2pt">
                <v:stroke endcap="round"/>
                <v:shadow on="t" color="black" opacity="26214f" origin="-.5,-.5" offset=".74836mm,.74836mm"/>
                <v:textbox>
                  <w:txbxContent>
                    <w:p w14:paraId="407E5927" w14:textId="77777777" w:rsidR="005048EB" w:rsidRDefault="005048EB" w:rsidP="00047AD5">
                      <w:pPr>
                        <w:jc w:val="center"/>
                        <w:rPr>
                          <w:color w:val="FFFFFF" w:themeColor="background1"/>
                          <w:sz w:val="18"/>
                        </w:rPr>
                      </w:pPr>
                      <w:r w:rsidRPr="00047AD5">
                        <w:rPr>
                          <w:color w:val="FFFFFF" w:themeColor="background1"/>
                          <w:sz w:val="18"/>
                          <w:u w:val="single"/>
                        </w:rPr>
                        <w:t>Case Study –Data Driven Decisions</w:t>
                      </w:r>
                      <w:r>
                        <w:rPr>
                          <w:color w:val="FFFFFF" w:themeColor="background1"/>
                          <w:sz w:val="18"/>
                        </w:rPr>
                        <w:t xml:space="preserve">  </w:t>
                      </w:r>
                    </w:p>
                    <w:p w14:paraId="7DEFAA69" w14:textId="26E10944" w:rsidR="005048EB" w:rsidRDefault="005048EB" w:rsidP="00047AD5">
                      <w:pPr>
                        <w:rPr>
                          <w:color w:val="FFFFFF" w:themeColor="background1"/>
                          <w:sz w:val="18"/>
                        </w:rPr>
                      </w:pPr>
                      <w:r>
                        <w:rPr>
                          <w:color w:val="FFFFFF" w:themeColor="background1"/>
                          <w:sz w:val="18"/>
                        </w:rPr>
                        <w:t xml:space="preserve">The </w:t>
                      </w:r>
                      <w:r w:rsidRPr="0073328F">
                        <w:rPr>
                          <w:color w:val="FFFFFF" w:themeColor="background1"/>
                          <w:sz w:val="18"/>
                        </w:rPr>
                        <w:t>Undeclared Learning Community (ULC) was launched</w:t>
                      </w:r>
                      <w:r>
                        <w:rPr>
                          <w:color w:val="FFFFFF" w:themeColor="background1"/>
                          <w:sz w:val="18"/>
                        </w:rPr>
                        <w:t xml:space="preserve"> </w:t>
                      </w:r>
                      <w:r w:rsidR="00980C82">
                        <w:rPr>
                          <w:color w:val="FFFFFF" w:themeColor="background1"/>
                          <w:sz w:val="18"/>
                        </w:rPr>
                        <w:t xml:space="preserve">by First-Year Programs </w:t>
                      </w:r>
                      <w:r>
                        <w:rPr>
                          <w:color w:val="FFFFFF" w:themeColor="background1"/>
                          <w:sz w:val="18"/>
                        </w:rPr>
                        <w:t>in Fall 2011</w:t>
                      </w:r>
                      <w:r w:rsidRPr="0073328F">
                        <w:rPr>
                          <w:color w:val="FFFFFF" w:themeColor="background1"/>
                          <w:sz w:val="18"/>
                        </w:rPr>
                        <w:t xml:space="preserve"> to </w:t>
                      </w:r>
                      <w:r w:rsidR="00980C82">
                        <w:rPr>
                          <w:color w:val="FFFFFF" w:themeColor="background1"/>
                          <w:sz w:val="18"/>
                        </w:rPr>
                        <w:t xml:space="preserve">support </w:t>
                      </w:r>
                      <w:r>
                        <w:rPr>
                          <w:color w:val="FFFFFF" w:themeColor="background1"/>
                          <w:sz w:val="18"/>
                        </w:rPr>
                        <w:t xml:space="preserve">undeclared </w:t>
                      </w:r>
                      <w:r w:rsidR="00980C82">
                        <w:rPr>
                          <w:color w:val="FFFFFF" w:themeColor="background1"/>
                          <w:sz w:val="18"/>
                        </w:rPr>
                        <w:t>/undecided freshmen</w:t>
                      </w:r>
                      <w:r w:rsidRPr="0073328F">
                        <w:rPr>
                          <w:color w:val="FFFFFF" w:themeColor="background1"/>
                          <w:sz w:val="18"/>
                        </w:rPr>
                        <w:t>.  These student</w:t>
                      </w:r>
                      <w:r>
                        <w:rPr>
                          <w:color w:val="FFFFFF" w:themeColor="background1"/>
                          <w:sz w:val="18"/>
                        </w:rPr>
                        <w:t>s</w:t>
                      </w:r>
                      <w:r w:rsidRPr="0073328F">
                        <w:rPr>
                          <w:color w:val="FFFFFF" w:themeColor="background1"/>
                          <w:sz w:val="18"/>
                        </w:rPr>
                        <w:t xml:space="preserve"> were block enrolled into GE – Life Long Learning and Information Literacy (GEL 101) and GE –Oral Communication (GEO 102)</w:t>
                      </w:r>
                      <w:r>
                        <w:rPr>
                          <w:color w:val="FFFFFF" w:themeColor="background1"/>
                          <w:sz w:val="18"/>
                        </w:rPr>
                        <w:t xml:space="preserve">.  IPA generated data </w:t>
                      </w:r>
                      <w:r w:rsidR="00980C82">
                        <w:rPr>
                          <w:color w:val="FFFFFF" w:themeColor="background1"/>
                          <w:sz w:val="18"/>
                        </w:rPr>
                        <w:t xml:space="preserve">illustrated the increased 1-YR retention </w:t>
                      </w:r>
                      <w:r>
                        <w:rPr>
                          <w:color w:val="FFFFFF" w:themeColor="background1"/>
                          <w:sz w:val="18"/>
                        </w:rPr>
                        <w:t>of ULC participant</w:t>
                      </w:r>
                      <w:r w:rsidR="00980C82">
                        <w:rPr>
                          <w:color w:val="FFFFFF" w:themeColor="background1"/>
                          <w:sz w:val="18"/>
                        </w:rPr>
                        <w:t xml:space="preserve"> (yellow bar) over all first-time freshmen (red bar) and all undeclared (orange bar).  </w:t>
                      </w:r>
                      <w:r>
                        <w:rPr>
                          <w:color w:val="FFFFFF" w:themeColor="background1"/>
                          <w:sz w:val="18"/>
                        </w:rPr>
                        <w:t>This finding, along with student and faculty feedback</w:t>
                      </w:r>
                      <w:r w:rsidR="00826F02">
                        <w:rPr>
                          <w:color w:val="FFFFFF" w:themeColor="background1"/>
                          <w:sz w:val="18"/>
                        </w:rPr>
                        <w:t>,</w:t>
                      </w:r>
                      <w:r>
                        <w:rPr>
                          <w:color w:val="FFFFFF" w:themeColor="background1"/>
                          <w:sz w:val="18"/>
                        </w:rPr>
                        <w:t xml:space="preserve"> led to the expansion of the ULC program in successive years.  </w:t>
                      </w:r>
                    </w:p>
                    <w:p w14:paraId="2BC28202" w14:textId="3E1695BC" w:rsidR="005048EB" w:rsidRDefault="005048EB" w:rsidP="00047AD5">
                      <w:pPr>
                        <w:rPr>
                          <w:noProof/>
                        </w:rPr>
                      </w:pPr>
                      <w:r>
                        <w:rPr>
                          <w:noProof/>
                        </w:rPr>
                        <w:drawing>
                          <wp:inline distT="0" distB="0" distL="0" distR="0" wp14:anchorId="037B1FF2" wp14:editId="2ABD57A9">
                            <wp:extent cx="1954530" cy="1447165"/>
                            <wp:effectExtent l="0" t="0" r="762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C0E277" w14:textId="5C1BECCA" w:rsidR="005048EB" w:rsidRPr="0073328F" w:rsidRDefault="005048EB" w:rsidP="00B252E5">
                      <w:pPr>
                        <w:rPr>
                          <w:color w:val="FFFFFF" w:themeColor="background1"/>
                          <w:sz w:val="18"/>
                        </w:rPr>
                      </w:pPr>
                    </w:p>
                  </w:txbxContent>
                </v:textbox>
                <w10:wrap type="tight" anchorx="margin"/>
              </v:shape>
            </w:pict>
          </mc:Fallback>
        </mc:AlternateContent>
      </w:r>
      <w:r w:rsidR="00A948F5">
        <w:rPr>
          <w:rFonts w:ascii="Times New Roman" w:hAnsi="Times New Roman" w:cs="Times New Roman"/>
          <w:sz w:val="24"/>
          <w:szCs w:val="24"/>
          <w:u w:val="single"/>
        </w:rPr>
        <w:t xml:space="preserve">6.3.1 </w:t>
      </w:r>
      <w:r w:rsidR="00C80D29">
        <w:rPr>
          <w:rFonts w:ascii="Times New Roman" w:hAnsi="Times New Roman" w:cs="Times New Roman"/>
          <w:sz w:val="24"/>
          <w:szCs w:val="24"/>
          <w:u w:val="single"/>
        </w:rPr>
        <w:t>Office of Institutional Planning and Analysis</w:t>
      </w:r>
      <w:r w:rsidR="004151D4">
        <w:rPr>
          <w:rFonts w:ascii="Times New Roman" w:hAnsi="Times New Roman" w:cs="Times New Roman"/>
          <w:sz w:val="24"/>
          <w:szCs w:val="24"/>
        </w:rPr>
        <w:t xml:space="preserve"> - </w:t>
      </w:r>
      <w:r w:rsidR="00C80D29">
        <w:rPr>
          <w:rFonts w:ascii="Times New Roman" w:hAnsi="Times New Roman" w:cs="Times New Roman"/>
          <w:sz w:val="24"/>
          <w:szCs w:val="24"/>
        </w:rPr>
        <w:t>The office of Institutional</w:t>
      </w:r>
      <w:r w:rsidR="00102AFA" w:rsidRPr="00102AFA">
        <w:rPr>
          <w:rFonts w:ascii="Times New Roman" w:hAnsi="Times New Roman" w:cs="Times New Roman"/>
          <w:sz w:val="24"/>
          <w:szCs w:val="24"/>
        </w:rPr>
        <w:t xml:space="preserve"> Planning and Analysis (IPA) is the main office of institutional research for CSUSM.  This office is staffed by four analysts and operates under the President’s division.  Some of the major duties of IPA are to 1) provide the campus with official data based on student enrollment at census</w:t>
      </w:r>
      <w:r w:rsidR="00F25251">
        <w:rPr>
          <w:rFonts w:ascii="Times New Roman" w:hAnsi="Times New Roman" w:cs="Times New Roman"/>
          <w:sz w:val="24"/>
          <w:szCs w:val="24"/>
        </w:rPr>
        <w:t>,</w:t>
      </w:r>
      <w:r w:rsidR="00102AFA" w:rsidRPr="00102AFA">
        <w:rPr>
          <w:rFonts w:ascii="Times New Roman" w:hAnsi="Times New Roman" w:cs="Times New Roman"/>
          <w:sz w:val="24"/>
          <w:szCs w:val="24"/>
        </w:rPr>
        <w:t xml:space="preserve"> 2)</w:t>
      </w:r>
      <w:r w:rsidR="00F25251">
        <w:rPr>
          <w:rFonts w:ascii="Times New Roman" w:hAnsi="Times New Roman" w:cs="Times New Roman"/>
          <w:sz w:val="24"/>
          <w:szCs w:val="24"/>
        </w:rPr>
        <w:t xml:space="preserve"> </w:t>
      </w:r>
      <w:r w:rsidR="00102AFA" w:rsidRPr="00102AFA">
        <w:rPr>
          <w:rFonts w:ascii="Times New Roman" w:hAnsi="Times New Roman" w:cs="Times New Roman"/>
          <w:sz w:val="24"/>
          <w:szCs w:val="24"/>
        </w:rPr>
        <w:t>provide support to procure and evaluate various grants</w:t>
      </w:r>
      <w:r w:rsidR="00F25251">
        <w:rPr>
          <w:rFonts w:ascii="Times New Roman" w:hAnsi="Times New Roman" w:cs="Times New Roman"/>
          <w:sz w:val="24"/>
          <w:szCs w:val="24"/>
        </w:rPr>
        <w:t>,</w:t>
      </w:r>
      <w:r w:rsidR="00102AFA" w:rsidRPr="00102AFA">
        <w:rPr>
          <w:rFonts w:ascii="Times New Roman" w:hAnsi="Times New Roman" w:cs="Times New Roman"/>
          <w:sz w:val="24"/>
          <w:szCs w:val="24"/>
        </w:rPr>
        <w:t xml:space="preserve"> 3) calculate retention and graduation rates</w:t>
      </w:r>
      <w:r w:rsidR="00F25251">
        <w:rPr>
          <w:rFonts w:ascii="Times New Roman" w:hAnsi="Times New Roman" w:cs="Times New Roman"/>
          <w:sz w:val="24"/>
          <w:szCs w:val="24"/>
        </w:rPr>
        <w:t>,</w:t>
      </w:r>
      <w:r w:rsidR="00102AFA" w:rsidRPr="00102AFA">
        <w:rPr>
          <w:rFonts w:ascii="Times New Roman" w:hAnsi="Times New Roman" w:cs="Times New Roman"/>
          <w:sz w:val="24"/>
          <w:szCs w:val="24"/>
        </w:rPr>
        <w:t xml:space="preserve"> 4) provide data support for campus initiatives such as the Graduation Initiative, HSI, First Year Programs, OTRES  and WASC</w:t>
      </w:r>
      <w:r w:rsidR="00F25251">
        <w:rPr>
          <w:rFonts w:ascii="Times New Roman" w:hAnsi="Times New Roman" w:cs="Times New Roman"/>
          <w:sz w:val="24"/>
          <w:szCs w:val="24"/>
        </w:rPr>
        <w:t>,</w:t>
      </w:r>
      <w:r w:rsidR="00102AFA" w:rsidRPr="00102AFA">
        <w:rPr>
          <w:rFonts w:ascii="Times New Roman" w:hAnsi="Times New Roman" w:cs="Times New Roman"/>
          <w:sz w:val="24"/>
          <w:szCs w:val="24"/>
        </w:rPr>
        <w:t xml:space="preserve"> 5) oversee and administer local and national survey</w:t>
      </w:r>
      <w:r w:rsidR="00F25251">
        <w:rPr>
          <w:rFonts w:ascii="Times New Roman" w:hAnsi="Times New Roman" w:cs="Times New Roman"/>
          <w:sz w:val="24"/>
          <w:szCs w:val="24"/>
        </w:rPr>
        <w:t>,</w:t>
      </w:r>
      <w:r w:rsidR="00102AFA" w:rsidRPr="00102AFA">
        <w:rPr>
          <w:rFonts w:ascii="Times New Roman" w:hAnsi="Times New Roman" w:cs="Times New Roman"/>
          <w:sz w:val="24"/>
          <w:szCs w:val="24"/>
        </w:rPr>
        <w:t xml:space="preserve"> 6) manage the faculty course evaluations process</w:t>
      </w:r>
      <w:r w:rsidR="004151D4">
        <w:rPr>
          <w:rFonts w:ascii="Times New Roman" w:hAnsi="Times New Roman" w:cs="Times New Roman"/>
          <w:sz w:val="24"/>
          <w:szCs w:val="24"/>
        </w:rPr>
        <w:t xml:space="preserve">, </w:t>
      </w:r>
      <w:r w:rsidR="00102AFA" w:rsidRPr="00102AFA">
        <w:rPr>
          <w:rFonts w:ascii="Times New Roman" w:hAnsi="Times New Roman" w:cs="Times New Roman"/>
          <w:sz w:val="24"/>
          <w:szCs w:val="24"/>
        </w:rPr>
        <w:t xml:space="preserve">7) provide data for departments undergoing </w:t>
      </w:r>
      <w:r w:rsidR="004151D4">
        <w:rPr>
          <w:rFonts w:ascii="Times New Roman" w:hAnsi="Times New Roman" w:cs="Times New Roman"/>
          <w:sz w:val="24"/>
          <w:szCs w:val="24"/>
        </w:rPr>
        <w:t xml:space="preserve">degree </w:t>
      </w:r>
      <w:r w:rsidR="00102AFA" w:rsidRPr="00102AFA">
        <w:rPr>
          <w:rFonts w:ascii="Times New Roman" w:hAnsi="Times New Roman" w:cs="Times New Roman"/>
          <w:sz w:val="24"/>
          <w:szCs w:val="24"/>
        </w:rPr>
        <w:t>program review</w:t>
      </w:r>
      <w:r w:rsidR="004151D4">
        <w:rPr>
          <w:rFonts w:ascii="Times New Roman" w:hAnsi="Times New Roman" w:cs="Times New Roman"/>
          <w:sz w:val="24"/>
          <w:szCs w:val="24"/>
        </w:rPr>
        <w:t>, and</w:t>
      </w:r>
      <w:r w:rsidR="00102AFA" w:rsidRPr="00102AFA">
        <w:rPr>
          <w:rFonts w:ascii="Times New Roman" w:hAnsi="Times New Roman" w:cs="Times New Roman"/>
          <w:sz w:val="24"/>
          <w:szCs w:val="24"/>
        </w:rPr>
        <w:t xml:space="preserve"> 8) provide data for IPEDS and for our system office.  IPA maintains a comprehensive survey portfolio that, when combined with other institutional data, provides robust insight and analysis of high impact educational practices related to civic and community engagement (</w:t>
      </w:r>
      <w:r w:rsidR="00125D5B">
        <w:rPr>
          <w:rFonts w:ascii="Times New Roman" w:hAnsi="Times New Roman" w:cs="Times New Roman"/>
          <w:sz w:val="24"/>
          <w:szCs w:val="24"/>
          <w:highlight w:val="yellow"/>
        </w:rPr>
        <w:t>Appendix 6.x</w:t>
      </w:r>
      <w:r w:rsidR="00102AFA" w:rsidRPr="004151D4">
        <w:rPr>
          <w:rFonts w:ascii="Times New Roman" w:hAnsi="Times New Roman" w:cs="Times New Roman"/>
          <w:sz w:val="24"/>
          <w:szCs w:val="24"/>
          <w:highlight w:val="yellow"/>
        </w:rPr>
        <w:t xml:space="preserve"> surveys</w:t>
      </w:r>
      <w:r w:rsidR="00102AFA" w:rsidRPr="00102AFA">
        <w:rPr>
          <w:rFonts w:ascii="Times New Roman" w:hAnsi="Times New Roman" w:cs="Times New Roman"/>
          <w:sz w:val="24"/>
          <w:szCs w:val="24"/>
        </w:rPr>
        <w:t xml:space="preserve">). This portfolio includes national surveys such as the National Survey for Student Engagement (NSSE), the Higher Education Research Institution’s Freshman Survey (TFS) and the follow-up College Senior Survey (CSS). In addition, IPA administers a graduation survey as well as an alumni survey. These survey instruments, frequently referenced in literature, are proven best practices in assessing and improving the college experience and student learning outcomes. The Freshman Survey is conducted annually and the NSSE and College Senior Survey are conducted biennially, in opposite years. Results are shared broadly and used at all levels of administration </w:t>
      </w:r>
      <w:r w:rsidR="00102AFA" w:rsidRPr="00102AFA">
        <w:rPr>
          <w:rFonts w:ascii="Times New Roman" w:hAnsi="Times New Roman" w:cs="Times New Roman"/>
          <w:sz w:val="24"/>
          <w:szCs w:val="24"/>
        </w:rPr>
        <w:lastRenderedPageBreak/>
        <w:t>and with all faculty to assess and refine practice. Starting in Spring 2015, the campus will add the Diverse Learning Environments Survey to its portfolio.</w:t>
      </w:r>
    </w:p>
    <w:p w14:paraId="2C196823" w14:textId="640D8968" w:rsidR="00102AFA" w:rsidRPr="00102AFA" w:rsidRDefault="00102AFA" w:rsidP="00A23AA0">
      <w:pPr>
        <w:rPr>
          <w:rFonts w:ascii="Times New Roman" w:hAnsi="Times New Roman" w:cs="Times New Roman"/>
          <w:sz w:val="24"/>
          <w:szCs w:val="24"/>
        </w:rPr>
      </w:pPr>
      <w:r w:rsidRPr="00102AFA">
        <w:rPr>
          <w:rFonts w:ascii="Times New Roman" w:hAnsi="Times New Roman" w:cs="Times New Roman"/>
          <w:sz w:val="24"/>
          <w:szCs w:val="24"/>
        </w:rPr>
        <w:t xml:space="preserve">Results from these surveys are routinely shared with Division Vice Presidents, deans, First Year Programs and other relevant offices on campus. Summaries of survey findings are posted on the IPA website. IPA </w:t>
      </w:r>
      <w:r w:rsidRPr="00A23AA0">
        <w:rPr>
          <w:rFonts w:ascii="Times New Roman" w:hAnsi="Times New Roman" w:cs="Times New Roman"/>
          <w:sz w:val="24"/>
          <w:szCs w:val="24"/>
        </w:rPr>
        <w:t>also prepares specialized reports with disaggregated survey findings to meet the needs of sp</w:t>
      </w:r>
      <w:r w:rsidRPr="00102AFA">
        <w:rPr>
          <w:rFonts w:ascii="Times New Roman" w:hAnsi="Times New Roman" w:cs="Times New Roman"/>
          <w:sz w:val="24"/>
          <w:szCs w:val="24"/>
        </w:rPr>
        <w:t>ecialized constituents such as HSI, the Gradation Initiative Steering Committee, Office of Undergraduate Studies and Program Review.</w:t>
      </w:r>
      <w:r w:rsidR="009E231C">
        <w:rPr>
          <w:rFonts w:ascii="Times New Roman" w:hAnsi="Times New Roman" w:cs="Times New Roman"/>
          <w:sz w:val="24"/>
          <w:szCs w:val="24"/>
        </w:rPr>
        <w:t xml:space="preserve">  Finally, </w:t>
      </w:r>
      <w:r w:rsidRPr="00102AFA">
        <w:rPr>
          <w:rFonts w:ascii="Times New Roman" w:hAnsi="Times New Roman" w:cs="Times New Roman"/>
          <w:sz w:val="24"/>
          <w:szCs w:val="24"/>
        </w:rPr>
        <w:t xml:space="preserve">IPA maintains a robust </w:t>
      </w:r>
      <w:hyperlink r:id="rId14" w:history="1">
        <w:r w:rsidRPr="004151D4">
          <w:rPr>
            <w:rStyle w:val="Hyperlink"/>
            <w:rFonts w:ascii="Times New Roman" w:hAnsi="Times New Roman" w:cs="Times New Roman"/>
            <w:sz w:val="24"/>
            <w:szCs w:val="24"/>
          </w:rPr>
          <w:t>website</w:t>
        </w:r>
      </w:hyperlink>
      <w:r w:rsidRPr="00102AFA">
        <w:rPr>
          <w:rFonts w:ascii="Times New Roman" w:hAnsi="Times New Roman" w:cs="Times New Roman"/>
          <w:sz w:val="24"/>
          <w:szCs w:val="24"/>
        </w:rPr>
        <w:t xml:space="preserve"> to provide easy access to data such as information about new and currently enrolled students, retention and graduation rates, degree reports, Common Data Sets and information about the course evaluation process.</w:t>
      </w:r>
    </w:p>
    <w:p w14:paraId="65BCE44C" w14:textId="1F86E50E" w:rsidR="00102AFA" w:rsidRPr="00102AFA" w:rsidRDefault="00A948F5" w:rsidP="00A23AA0">
      <w:pPr>
        <w:rPr>
          <w:rFonts w:ascii="Times New Roman" w:hAnsi="Times New Roman" w:cs="Times New Roman"/>
          <w:sz w:val="24"/>
          <w:szCs w:val="24"/>
        </w:rPr>
      </w:pPr>
      <w:r>
        <w:rPr>
          <w:rFonts w:ascii="Times New Roman" w:hAnsi="Times New Roman" w:cs="Times New Roman"/>
          <w:sz w:val="24"/>
          <w:szCs w:val="24"/>
          <w:u w:val="single"/>
        </w:rPr>
        <w:t xml:space="preserve">6.3.2 </w:t>
      </w:r>
      <w:r w:rsidR="004151D4">
        <w:rPr>
          <w:rFonts w:ascii="Times New Roman" w:hAnsi="Times New Roman" w:cs="Times New Roman"/>
          <w:sz w:val="24"/>
          <w:szCs w:val="24"/>
          <w:u w:val="single"/>
        </w:rPr>
        <w:t>Instructional and Information Technology Services</w:t>
      </w:r>
      <w:r w:rsidR="00102AFA" w:rsidRPr="00102AFA">
        <w:rPr>
          <w:rFonts w:ascii="Times New Roman" w:hAnsi="Times New Roman" w:cs="Times New Roman"/>
          <w:sz w:val="24"/>
          <w:szCs w:val="24"/>
        </w:rPr>
        <w:t xml:space="preserve"> – </w:t>
      </w:r>
      <w:r w:rsidR="004151D4">
        <w:rPr>
          <w:rFonts w:ascii="Times New Roman" w:hAnsi="Times New Roman" w:cs="Times New Roman"/>
          <w:sz w:val="24"/>
          <w:szCs w:val="24"/>
        </w:rPr>
        <w:t xml:space="preserve">The Instructional and Information Technology Services (IITS) division is responsible for the management and support of technology throughout the campus.  </w:t>
      </w:r>
      <w:r w:rsidR="00102AFA" w:rsidRPr="00102AFA">
        <w:rPr>
          <w:rFonts w:ascii="Times New Roman" w:hAnsi="Times New Roman" w:cs="Times New Roman"/>
          <w:sz w:val="24"/>
          <w:szCs w:val="24"/>
        </w:rPr>
        <w:t xml:space="preserve">The university’s commitment to be a learning organization and a data informed decision-making university was further institutionalized in the 2012 </w:t>
      </w:r>
      <w:hyperlink r:id="rId15" w:history="1">
        <w:r w:rsidR="00102AFA" w:rsidRPr="00E154CA">
          <w:rPr>
            <w:rStyle w:val="Hyperlink"/>
            <w:rFonts w:ascii="Times New Roman" w:hAnsi="Times New Roman" w:cs="Times New Roman"/>
            <w:sz w:val="24"/>
            <w:szCs w:val="24"/>
          </w:rPr>
          <w:t>Information Technology Strategic Plan</w:t>
        </w:r>
      </w:hyperlink>
      <w:r w:rsidR="00E154CA">
        <w:rPr>
          <w:rFonts w:ascii="Times New Roman" w:hAnsi="Times New Roman" w:cs="Times New Roman"/>
          <w:sz w:val="24"/>
          <w:szCs w:val="24"/>
        </w:rPr>
        <w:t>.</w:t>
      </w:r>
      <w:r w:rsidR="00102AFA" w:rsidRPr="00102AFA">
        <w:rPr>
          <w:rFonts w:ascii="Times New Roman" w:hAnsi="Times New Roman" w:cs="Times New Roman"/>
          <w:sz w:val="24"/>
          <w:szCs w:val="24"/>
        </w:rPr>
        <w:t xml:space="preserve"> The governance structure of the IT Strategic Plan includes an information management steering committee, of which the vice president for community engagement serves as a member. Further, an interdisciplinary data team with representatives from Institutional Planning &amp; Analysis (IPA), Instructional and Information Technology Services, the registrar, enrollment management services and other key data stewards regularly meet to review campus data needs. This collaboration facilitates the development of mechanisms for reporting, assessing and informing the campus about across key engagement practices, institutional planning, and student progress and success. The information management strategy is an exemplar of CSUSM’s commitment to measurement and assessment, and to alignment of these activities across key goals and institutional priorities.</w:t>
      </w:r>
    </w:p>
    <w:p w14:paraId="37789C28" w14:textId="0C0BE9C0" w:rsidR="00F555DF" w:rsidRDefault="00F555DF" w:rsidP="00A23AA0">
      <w:pPr>
        <w:rPr>
          <w:rFonts w:ascii="Times New Roman" w:hAnsi="Times New Roman" w:cs="Times New Roman"/>
          <w:sz w:val="24"/>
          <w:szCs w:val="24"/>
        </w:rPr>
      </w:pPr>
      <w:r>
        <w:rPr>
          <w:rFonts w:ascii="Times New Roman" w:hAnsi="Times New Roman" w:cs="Times New Roman"/>
          <w:sz w:val="24"/>
          <w:szCs w:val="24"/>
        </w:rPr>
        <w:t xml:space="preserve">One </w:t>
      </w:r>
      <w:r w:rsidRPr="00102AFA">
        <w:rPr>
          <w:rFonts w:ascii="Times New Roman" w:hAnsi="Times New Roman" w:cs="Times New Roman"/>
          <w:sz w:val="24"/>
          <w:szCs w:val="24"/>
        </w:rPr>
        <w:t xml:space="preserve">of the four themes </w:t>
      </w:r>
      <w:r>
        <w:rPr>
          <w:rFonts w:ascii="Times New Roman" w:hAnsi="Times New Roman" w:cs="Times New Roman"/>
          <w:sz w:val="24"/>
          <w:szCs w:val="24"/>
        </w:rPr>
        <w:t xml:space="preserve">of the Information Technology Strategic Plan is Theme B - </w:t>
      </w:r>
      <w:r w:rsidRPr="00102AFA">
        <w:rPr>
          <w:rFonts w:ascii="Times New Roman" w:hAnsi="Times New Roman" w:cs="Times New Roman"/>
          <w:sz w:val="24"/>
          <w:szCs w:val="24"/>
        </w:rPr>
        <w:t>Informing Decisions with Data</w:t>
      </w:r>
      <w:r>
        <w:rPr>
          <w:rFonts w:ascii="Times New Roman" w:hAnsi="Times New Roman" w:cs="Times New Roman"/>
          <w:sz w:val="24"/>
          <w:szCs w:val="24"/>
        </w:rPr>
        <w:t>.</w:t>
      </w:r>
      <w:r w:rsidRPr="00102AFA">
        <w:rPr>
          <w:rFonts w:ascii="Times New Roman" w:hAnsi="Times New Roman" w:cs="Times New Roman"/>
          <w:sz w:val="24"/>
          <w:szCs w:val="24"/>
        </w:rPr>
        <w:t xml:space="preserve"> </w:t>
      </w:r>
      <w:r>
        <w:rPr>
          <w:rFonts w:ascii="Times New Roman" w:hAnsi="Times New Roman" w:cs="Times New Roman"/>
          <w:sz w:val="24"/>
          <w:szCs w:val="24"/>
        </w:rPr>
        <w:t xml:space="preserve">The aim of this theme is to </w:t>
      </w:r>
      <w:r w:rsidR="00125D5B">
        <w:rPr>
          <w:rFonts w:ascii="Times New Roman" w:hAnsi="Times New Roman" w:cs="Times New Roman"/>
          <w:sz w:val="24"/>
          <w:szCs w:val="24"/>
        </w:rPr>
        <w:t xml:space="preserve">use campus technology to </w:t>
      </w:r>
      <w:r>
        <w:rPr>
          <w:rFonts w:ascii="Times New Roman" w:hAnsi="Times New Roman" w:cs="Times New Roman"/>
          <w:sz w:val="24"/>
          <w:szCs w:val="24"/>
        </w:rPr>
        <w:t>collect, analyze and distribut</w:t>
      </w:r>
      <w:r w:rsidR="00125D5B">
        <w:rPr>
          <w:rFonts w:ascii="Times New Roman" w:hAnsi="Times New Roman" w:cs="Times New Roman"/>
          <w:sz w:val="24"/>
          <w:szCs w:val="24"/>
        </w:rPr>
        <w:t>e</w:t>
      </w:r>
      <w:r>
        <w:rPr>
          <w:rFonts w:ascii="Times New Roman" w:hAnsi="Times New Roman" w:cs="Times New Roman"/>
          <w:sz w:val="24"/>
          <w:szCs w:val="24"/>
        </w:rPr>
        <w:t xml:space="preserve"> data to inform decisions across the campus about metrics for forecasting course</w:t>
      </w:r>
      <w:r w:rsidR="00125D5B">
        <w:rPr>
          <w:rFonts w:ascii="Times New Roman" w:hAnsi="Times New Roman" w:cs="Times New Roman"/>
          <w:sz w:val="24"/>
          <w:szCs w:val="24"/>
        </w:rPr>
        <w:t>/</w:t>
      </w:r>
      <w:r>
        <w:rPr>
          <w:rFonts w:ascii="Times New Roman" w:hAnsi="Times New Roman" w:cs="Times New Roman"/>
          <w:sz w:val="24"/>
          <w:szCs w:val="24"/>
        </w:rPr>
        <w:t>facility</w:t>
      </w:r>
      <w:r w:rsidR="00125D5B">
        <w:rPr>
          <w:rFonts w:ascii="Times New Roman" w:hAnsi="Times New Roman" w:cs="Times New Roman"/>
          <w:sz w:val="24"/>
          <w:szCs w:val="24"/>
        </w:rPr>
        <w:t>/</w:t>
      </w:r>
      <w:r>
        <w:rPr>
          <w:rFonts w:ascii="Times New Roman" w:hAnsi="Times New Roman" w:cs="Times New Roman"/>
          <w:sz w:val="24"/>
          <w:szCs w:val="24"/>
        </w:rPr>
        <w:t xml:space="preserve">enrollment demand, student success, the efficacy of learning delivery models and </w:t>
      </w:r>
      <w:r w:rsidR="00125D5B">
        <w:rPr>
          <w:rFonts w:ascii="Times New Roman" w:hAnsi="Times New Roman" w:cs="Times New Roman"/>
          <w:sz w:val="24"/>
          <w:szCs w:val="24"/>
        </w:rPr>
        <w:t>financial reports key to fundraising activities.  By providing dashboards for various data libraries, faculty, staff, students and administrators can have rapid and easy access to data.</w:t>
      </w:r>
    </w:p>
    <w:p w14:paraId="029C60E7" w14:textId="790F10D2" w:rsidR="00102AFA" w:rsidRPr="00102AFA" w:rsidRDefault="00125D5B" w:rsidP="00A23AA0">
      <w:pPr>
        <w:rPr>
          <w:rFonts w:ascii="Times New Roman" w:hAnsi="Times New Roman" w:cs="Times New Roman"/>
          <w:sz w:val="24"/>
          <w:szCs w:val="24"/>
        </w:rPr>
      </w:pPr>
      <w:r>
        <w:rPr>
          <w:rFonts w:ascii="Times New Roman" w:hAnsi="Times New Roman" w:cs="Times New Roman"/>
          <w:sz w:val="24"/>
          <w:szCs w:val="24"/>
        </w:rPr>
        <w:t xml:space="preserve">One example of a data dashboard used on campus is the Reporting and Data Analytics Repository (RaDAR) program.  </w:t>
      </w:r>
      <w:r w:rsidR="00102AFA" w:rsidRPr="00102AFA">
        <w:rPr>
          <w:rFonts w:ascii="Times New Roman" w:hAnsi="Times New Roman" w:cs="Times New Roman"/>
          <w:sz w:val="24"/>
          <w:szCs w:val="24"/>
        </w:rPr>
        <w:t xml:space="preserve">Whereas IPA is responsible for census and survey data, the campus also utilizes “live” data in its decision-making.  In 2009, it was recognized that there was a strong need for easy access to live data and self-service reports by a multitude of users.  RaDAR was developed as a solution to this </w:t>
      </w:r>
      <w:r w:rsidR="00102AFA" w:rsidRPr="00F90F87">
        <w:rPr>
          <w:rFonts w:ascii="Times New Roman" w:hAnsi="Times New Roman" w:cs="Times New Roman"/>
          <w:sz w:val="24"/>
          <w:szCs w:val="24"/>
        </w:rPr>
        <w:t>prob</w:t>
      </w:r>
      <w:r w:rsidR="009518CC" w:rsidRPr="00F90F87">
        <w:rPr>
          <w:rFonts w:ascii="Times New Roman" w:hAnsi="Times New Roman" w:cs="Times New Roman"/>
          <w:sz w:val="24"/>
          <w:szCs w:val="24"/>
        </w:rPr>
        <w:t xml:space="preserve">lem </w:t>
      </w:r>
      <w:r w:rsidR="00F90F87" w:rsidRPr="00F90F87">
        <w:rPr>
          <w:rFonts w:ascii="Times New Roman" w:hAnsi="Times New Roman"/>
          <w:sz w:val="24"/>
          <w:szCs w:val="24"/>
        </w:rPr>
        <w:t>and IITS moved forward to provide a data warehousing environment where t</w:t>
      </w:r>
      <w:r w:rsidR="00102AFA" w:rsidRPr="00F90F87">
        <w:rPr>
          <w:rFonts w:ascii="Times New Roman" w:hAnsi="Times New Roman" w:cs="Times New Roman"/>
          <w:sz w:val="24"/>
          <w:szCs w:val="24"/>
        </w:rPr>
        <w:t>h</w:t>
      </w:r>
      <w:r w:rsidR="00102AFA" w:rsidRPr="00102AFA">
        <w:rPr>
          <w:rFonts w:ascii="Times New Roman" w:hAnsi="Times New Roman" w:cs="Times New Roman"/>
          <w:sz w:val="24"/>
          <w:szCs w:val="24"/>
        </w:rPr>
        <w:t xml:space="preserve">e primary goals of developing RaDAR were to 1) provide a central repository of relevant data and reports, 2) provide a mechanism of data retrieval accessible by the public and campus community, 3) allow for the timely retrieval of data while </w:t>
      </w:r>
      <w:r w:rsidR="00102AFA" w:rsidRPr="00102AFA">
        <w:rPr>
          <w:rFonts w:ascii="Times New Roman" w:hAnsi="Times New Roman" w:cs="Times New Roman"/>
          <w:sz w:val="24"/>
          <w:szCs w:val="24"/>
        </w:rPr>
        <w:lastRenderedPageBreak/>
        <w:t>incorporating security, scalability and usability, and 4) allow for groups to retrieve data tailored to their programmatic level.  Since 2009, the RaDAR project has created over 30 reports (</w:t>
      </w:r>
      <w:r>
        <w:rPr>
          <w:rFonts w:ascii="Times New Roman" w:hAnsi="Times New Roman" w:cs="Times New Roman"/>
          <w:sz w:val="24"/>
          <w:szCs w:val="24"/>
          <w:highlight w:val="yellow"/>
        </w:rPr>
        <w:t>Appendix 6.x</w:t>
      </w:r>
      <w:r w:rsidR="00102AFA" w:rsidRPr="00102AFA">
        <w:rPr>
          <w:rFonts w:ascii="Times New Roman" w:hAnsi="Times New Roman" w:cs="Times New Roman"/>
          <w:sz w:val="24"/>
          <w:szCs w:val="24"/>
        </w:rPr>
        <w:t xml:space="preserve">). The reports are used by faculty, staff and administrators based on users’ security access. All reports are easily accessible through the RaDAR </w:t>
      </w:r>
      <w:hyperlink r:id="rId16" w:history="1">
        <w:r w:rsidR="00102AFA" w:rsidRPr="00125D5B">
          <w:rPr>
            <w:rStyle w:val="Hyperlink"/>
            <w:rFonts w:ascii="Times New Roman" w:hAnsi="Times New Roman" w:cs="Times New Roman"/>
            <w:sz w:val="24"/>
            <w:szCs w:val="24"/>
          </w:rPr>
          <w:t>website</w:t>
        </w:r>
      </w:hyperlink>
      <w:r w:rsidR="00102AFA" w:rsidRPr="00102AFA">
        <w:rPr>
          <w:rFonts w:ascii="Times New Roman" w:hAnsi="Times New Roman" w:cs="Times New Roman"/>
          <w:sz w:val="24"/>
          <w:szCs w:val="24"/>
        </w:rPr>
        <w:t xml:space="preserve">. The current RaDAR data sources include PeopleSoft Student data (refreshed nightly with updated data) and static data including Enrollment Reporting System (ERS) files (based on census), applicant files (ERSA), and Degree files.  </w:t>
      </w:r>
    </w:p>
    <w:p w14:paraId="690F18B7" w14:textId="6BE4564B" w:rsidR="00BF5939" w:rsidRDefault="00102AFA" w:rsidP="00A23AA0">
      <w:pPr>
        <w:rPr>
          <w:rFonts w:ascii="Times New Roman" w:hAnsi="Times New Roman" w:cs="Times New Roman"/>
          <w:sz w:val="24"/>
          <w:szCs w:val="24"/>
        </w:rPr>
      </w:pPr>
      <w:r w:rsidRPr="00102AFA">
        <w:rPr>
          <w:rFonts w:ascii="Times New Roman" w:hAnsi="Times New Roman" w:cs="Times New Roman"/>
          <w:sz w:val="24"/>
          <w:szCs w:val="24"/>
        </w:rPr>
        <w:t xml:space="preserve"> The use of RaDAR reports demonstrates the campus’ willingness to use data for campus decisions.  We are able to monitor the number of reports run, which reports are run the </w:t>
      </w:r>
      <w:r w:rsidR="00F15F22">
        <w:rPr>
          <w:rFonts w:ascii="Times New Roman" w:hAnsi="Times New Roman" w:cs="Times New Roman"/>
          <w:sz w:val="24"/>
          <w:szCs w:val="24"/>
        </w:rPr>
        <w:t>most,</w:t>
      </w:r>
      <w:r w:rsidRPr="00102AFA">
        <w:rPr>
          <w:rFonts w:ascii="Times New Roman" w:hAnsi="Times New Roman" w:cs="Times New Roman"/>
          <w:sz w:val="24"/>
          <w:szCs w:val="24"/>
        </w:rPr>
        <w:t xml:space="preserve"> </w:t>
      </w:r>
      <w:r w:rsidR="00F15F22">
        <w:rPr>
          <w:rFonts w:ascii="Times New Roman" w:hAnsi="Times New Roman" w:cs="Times New Roman"/>
          <w:sz w:val="24"/>
          <w:szCs w:val="24"/>
        </w:rPr>
        <w:t xml:space="preserve">and also who is using the portal.  </w:t>
      </w:r>
      <w:r w:rsidRPr="00102AFA">
        <w:rPr>
          <w:rFonts w:ascii="Times New Roman" w:hAnsi="Times New Roman" w:cs="Times New Roman"/>
          <w:sz w:val="24"/>
          <w:szCs w:val="24"/>
        </w:rPr>
        <w:t xml:space="preserve">The top 10 reports </w:t>
      </w:r>
      <w:r w:rsidR="00F15F22">
        <w:rPr>
          <w:rFonts w:ascii="Times New Roman" w:hAnsi="Times New Roman" w:cs="Times New Roman"/>
          <w:sz w:val="24"/>
          <w:szCs w:val="24"/>
        </w:rPr>
        <w:t>(</w:t>
      </w:r>
      <w:r w:rsidR="00125D5B" w:rsidRPr="00F15F22">
        <w:rPr>
          <w:rFonts w:ascii="Times New Roman" w:hAnsi="Times New Roman" w:cs="Times New Roman"/>
          <w:sz w:val="24"/>
          <w:szCs w:val="24"/>
          <w:highlight w:val="yellow"/>
        </w:rPr>
        <w:t>Appendix 6.x</w:t>
      </w:r>
      <w:r w:rsidRPr="00102AFA">
        <w:rPr>
          <w:rFonts w:ascii="Times New Roman" w:hAnsi="Times New Roman" w:cs="Times New Roman"/>
          <w:sz w:val="24"/>
          <w:szCs w:val="24"/>
        </w:rPr>
        <w:t xml:space="preserve">) are ones that provide the campus with data on program evaluation, student admissions and student enrollment.  </w:t>
      </w:r>
      <w:r w:rsidR="00BF5939">
        <w:rPr>
          <w:rFonts w:ascii="Times New Roman" w:hAnsi="Times New Roman" w:cs="Times New Roman"/>
          <w:sz w:val="24"/>
          <w:szCs w:val="24"/>
        </w:rPr>
        <w:t xml:space="preserve">Compiling usage data </w:t>
      </w:r>
      <w:r w:rsidR="007A5BB4">
        <w:rPr>
          <w:rFonts w:ascii="Times New Roman" w:hAnsi="Times New Roman" w:cs="Times New Roman"/>
          <w:sz w:val="24"/>
          <w:szCs w:val="24"/>
        </w:rPr>
        <w:t xml:space="preserve">allowed us to assess the utilization of RaDAR </w:t>
      </w:r>
      <w:r w:rsidR="002E3926">
        <w:rPr>
          <w:rFonts w:ascii="Times New Roman" w:hAnsi="Times New Roman" w:cs="Times New Roman"/>
          <w:sz w:val="24"/>
          <w:szCs w:val="24"/>
        </w:rPr>
        <w:t>and revealed</w:t>
      </w:r>
      <w:r w:rsidR="00BF5939">
        <w:rPr>
          <w:rFonts w:ascii="Times New Roman" w:hAnsi="Times New Roman" w:cs="Times New Roman"/>
          <w:sz w:val="24"/>
          <w:szCs w:val="24"/>
        </w:rPr>
        <w:t xml:space="preserve"> that </w:t>
      </w:r>
      <w:r w:rsidR="007A5BB4">
        <w:rPr>
          <w:rFonts w:ascii="Times New Roman" w:hAnsi="Times New Roman" w:cs="Times New Roman"/>
          <w:sz w:val="24"/>
          <w:szCs w:val="24"/>
        </w:rPr>
        <w:t xml:space="preserve">although </w:t>
      </w:r>
      <w:r w:rsidR="00BF5939">
        <w:rPr>
          <w:rFonts w:ascii="Times New Roman" w:hAnsi="Times New Roman" w:cs="Times New Roman"/>
          <w:sz w:val="24"/>
          <w:szCs w:val="24"/>
        </w:rPr>
        <w:t xml:space="preserve">some individual users frequently use </w:t>
      </w:r>
      <w:r w:rsidR="007A5BB4">
        <w:rPr>
          <w:rFonts w:ascii="Times New Roman" w:hAnsi="Times New Roman" w:cs="Times New Roman"/>
          <w:sz w:val="24"/>
          <w:szCs w:val="24"/>
        </w:rPr>
        <w:t>RaDAR</w:t>
      </w:r>
      <w:r w:rsidR="00BF5939">
        <w:rPr>
          <w:rFonts w:ascii="Times New Roman" w:hAnsi="Times New Roman" w:cs="Times New Roman"/>
          <w:sz w:val="24"/>
          <w:szCs w:val="24"/>
        </w:rPr>
        <w:t>, many who could benefit</w:t>
      </w:r>
      <w:r w:rsidR="007A5BB4">
        <w:rPr>
          <w:rFonts w:ascii="Times New Roman" w:hAnsi="Times New Roman" w:cs="Times New Roman"/>
          <w:sz w:val="24"/>
          <w:szCs w:val="24"/>
        </w:rPr>
        <w:t xml:space="preserve"> geatly</w:t>
      </w:r>
      <w:r w:rsidR="00BF5939">
        <w:rPr>
          <w:rFonts w:ascii="Times New Roman" w:hAnsi="Times New Roman" w:cs="Times New Roman"/>
          <w:sz w:val="24"/>
          <w:szCs w:val="24"/>
        </w:rPr>
        <w:t xml:space="preserve"> from RaDAR data never use it.  For example, several RaDAR reports are helpful for predicting course demand and enrollment</w:t>
      </w:r>
      <w:r w:rsidR="007A5BB4">
        <w:rPr>
          <w:rFonts w:ascii="Times New Roman" w:hAnsi="Times New Roman" w:cs="Times New Roman"/>
          <w:sz w:val="24"/>
          <w:szCs w:val="24"/>
        </w:rPr>
        <w:t xml:space="preserve"> growth; associate deans of the four colleges are among the top users, </w:t>
      </w:r>
      <w:r w:rsidR="00BF5939">
        <w:rPr>
          <w:rFonts w:ascii="Times New Roman" w:hAnsi="Times New Roman" w:cs="Times New Roman"/>
          <w:sz w:val="24"/>
          <w:szCs w:val="24"/>
        </w:rPr>
        <w:t xml:space="preserve">yet few department chairs use RaDAR.  While the abilities of RaDAR have been presented to department chairs, it may take more one-on-one training to get them comfortable using this helpful resource.  </w:t>
      </w:r>
    </w:p>
    <w:p w14:paraId="443E3883" w14:textId="08A1EE6B" w:rsidR="00102AFA" w:rsidRPr="00102AFA" w:rsidRDefault="00102AFA" w:rsidP="00A23AA0">
      <w:pPr>
        <w:rPr>
          <w:rFonts w:ascii="Times New Roman" w:hAnsi="Times New Roman" w:cs="Times New Roman"/>
          <w:sz w:val="24"/>
          <w:szCs w:val="24"/>
        </w:rPr>
      </w:pPr>
      <w:r w:rsidRPr="00102AFA">
        <w:rPr>
          <w:rFonts w:ascii="Times New Roman" w:hAnsi="Times New Roman" w:cs="Times New Roman"/>
          <w:sz w:val="24"/>
          <w:szCs w:val="24"/>
        </w:rPr>
        <w:t xml:space="preserve">RaDAR has also increase efficiency and timeliness of key data. For example, the RaDAR Team worked closely with IPA to development the </w:t>
      </w:r>
      <w:r w:rsidR="00F15F22">
        <w:rPr>
          <w:rFonts w:ascii="Times New Roman" w:hAnsi="Times New Roman" w:cs="Times New Roman"/>
          <w:sz w:val="24"/>
          <w:szCs w:val="24"/>
        </w:rPr>
        <w:t>Program Review Data Notebook</w:t>
      </w:r>
      <w:r w:rsidRPr="00102AFA">
        <w:rPr>
          <w:rFonts w:ascii="Times New Roman" w:hAnsi="Times New Roman" w:cs="Times New Roman"/>
          <w:sz w:val="24"/>
          <w:szCs w:val="24"/>
        </w:rPr>
        <w:t xml:space="preserve"> with the information needed for </w:t>
      </w:r>
      <w:r w:rsidR="00F15F22">
        <w:rPr>
          <w:rFonts w:ascii="Times New Roman" w:hAnsi="Times New Roman" w:cs="Times New Roman"/>
          <w:sz w:val="24"/>
          <w:szCs w:val="24"/>
        </w:rPr>
        <w:t>DPR</w:t>
      </w:r>
      <w:r w:rsidRPr="00102AFA">
        <w:rPr>
          <w:rFonts w:ascii="Times New Roman" w:hAnsi="Times New Roman" w:cs="Times New Roman"/>
          <w:sz w:val="24"/>
          <w:szCs w:val="24"/>
        </w:rPr>
        <w:t xml:space="preserve"> as well as reports that provide the latest degrees awarded.  The RaDAR website also provides an online Data Request form that gets routed to the appropriate data stewards on campus.  Since its inception in Spring 2012, the campus has processed over 200 data requests.  Some requests are queries for individual use and other requests are RaDAR reports depending on the complexity and audience of the data.</w:t>
      </w:r>
      <w:r w:rsidR="00F15F22">
        <w:rPr>
          <w:rFonts w:ascii="Times New Roman" w:hAnsi="Times New Roman" w:cs="Times New Roman"/>
          <w:sz w:val="24"/>
          <w:szCs w:val="24"/>
        </w:rPr>
        <w:t xml:space="preserve">  </w:t>
      </w:r>
    </w:p>
    <w:p w14:paraId="220AD515" w14:textId="150E1757" w:rsidR="00102AFA" w:rsidRPr="00102AFA" w:rsidRDefault="00A948F5" w:rsidP="00A23AA0">
      <w:pPr>
        <w:rPr>
          <w:rFonts w:ascii="Times New Roman" w:hAnsi="Times New Roman" w:cs="Times New Roman"/>
          <w:sz w:val="24"/>
          <w:szCs w:val="24"/>
        </w:rPr>
      </w:pPr>
      <w:r>
        <w:rPr>
          <w:rFonts w:ascii="Times New Roman" w:hAnsi="Times New Roman" w:cs="Times New Roman"/>
          <w:sz w:val="24"/>
          <w:szCs w:val="24"/>
          <w:u w:val="single"/>
        </w:rPr>
        <w:t xml:space="preserve">6.3.3 </w:t>
      </w:r>
      <w:r w:rsidR="00102AFA" w:rsidRPr="00BF5939">
        <w:rPr>
          <w:rFonts w:ascii="Times New Roman" w:hAnsi="Times New Roman" w:cs="Times New Roman"/>
          <w:sz w:val="24"/>
          <w:szCs w:val="24"/>
          <w:u w:val="single"/>
        </w:rPr>
        <w:t>Community Engagement Data</w:t>
      </w:r>
      <w:r w:rsidR="00102AFA" w:rsidRPr="00102AFA">
        <w:rPr>
          <w:rFonts w:ascii="Times New Roman" w:hAnsi="Times New Roman" w:cs="Times New Roman"/>
          <w:sz w:val="24"/>
          <w:szCs w:val="24"/>
        </w:rPr>
        <w:t xml:space="preserve"> - The CSUSM community engagement division maintains primary responsibility for tracking and documenting institutional engagement. This includes tracking and reporting on faculty engagement scholarship development grants and outcomes, institutional partnerships (as evidenced in the partnership grid template), community service learning using the S4 database http://calstates4.com/, and the use of other less formal systems to track engagement with community partner organizations and individuals. The data and information are used to assess the impact and effectiveness of new and continuing partnerships, develop communications, and construct the annual budget request for the university budget process for the Division of Community Engagement and/or campus-wide engagement initiatives. The campus still needs to develop a mechanism for tracking faculty engagement service or scholarship that falls outside of the engagement scholarship grants process. This must be integrated with the current faculty activity reporting system and the RTP process to ensure convenience of use and encourage accurate and complete reporting. Discussions are in the formative stage.</w:t>
      </w:r>
    </w:p>
    <w:p w14:paraId="09314212" w14:textId="38D4908D" w:rsidR="00A23AA0" w:rsidRPr="00BB3B84" w:rsidRDefault="00A948F5" w:rsidP="00F90F87">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6.3.4 </w:t>
      </w:r>
      <w:r w:rsidR="00F90F87">
        <w:rPr>
          <w:rFonts w:ascii="Times New Roman" w:hAnsi="Times New Roman"/>
          <w:sz w:val="24"/>
          <w:szCs w:val="24"/>
          <w:u w:val="single"/>
        </w:rPr>
        <w:t>Data Looking Forward</w:t>
      </w:r>
      <w:r w:rsidR="00F90F87">
        <w:rPr>
          <w:rFonts w:ascii="Times New Roman" w:hAnsi="Times New Roman"/>
          <w:sz w:val="24"/>
          <w:szCs w:val="24"/>
        </w:rPr>
        <w:t xml:space="preserve"> – CSUSM has a multitude of data programs, surveys, collection practices, and dashboards.   IITS is expanding the existing RaDAR system to provide more sophisticated data presentation layers to assist in the data analytics of Academic Predictors and High Impact Practices.  The goal is the delivery of dashboards and tools that answer questions required to improve graduation rates and identify at-risk students.  IITS is also in the midst of implementing Degree Planner, an interactive online eAdvising tool that functions in PeopleSoft to help students be more proactive with their course planning. The intent is to aid students in completing their degree quicker and more effectively while also providing the campus with course need information for enrollment planning.</w:t>
      </w:r>
    </w:p>
    <w:sectPr w:rsidR="00A23AA0" w:rsidRPr="00BB3B84" w:rsidSect="002A12D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30F"/>
    <w:multiLevelType w:val="hybridMultilevel"/>
    <w:tmpl w:val="14B2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71B7"/>
    <w:multiLevelType w:val="hybridMultilevel"/>
    <w:tmpl w:val="A15A6C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2BA47F2"/>
    <w:multiLevelType w:val="multilevel"/>
    <w:tmpl w:val="892E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026DA"/>
    <w:multiLevelType w:val="hybridMultilevel"/>
    <w:tmpl w:val="841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15930"/>
    <w:multiLevelType w:val="hybridMultilevel"/>
    <w:tmpl w:val="AB6CE6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BFE752D"/>
    <w:multiLevelType w:val="multilevel"/>
    <w:tmpl w:val="02722D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D1F3336"/>
    <w:multiLevelType w:val="hybridMultilevel"/>
    <w:tmpl w:val="A428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568EC"/>
    <w:multiLevelType w:val="multilevel"/>
    <w:tmpl w:val="E80C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5A4253"/>
    <w:multiLevelType w:val="multilevel"/>
    <w:tmpl w:val="680AB48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7C25C18"/>
    <w:multiLevelType w:val="hybridMultilevel"/>
    <w:tmpl w:val="4264542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alibri"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alibri"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alibri" w:hint="default"/>
      </w:rPr>
    </w:lvl>
    <w:lvl w:ilvl="8" w:tplc="04090005" w:tentative="1">
      <w:start w:val="1"/>
      <w:numFmt w:val="bullet"/>
      <w:lvlText w:val=""/>
      <w:lvlJc w:val="left"/>
      <w:pPr>
        <w:ind w:left="594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3"/>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55"/>
    <w:rsid w:val="00047AD5"/>
    <w:rsid w:val="00066C00"/>
    <w:rsid w:val="0008481A"/>
    <w:rsid w:val="000A76D1"/>
    <w:rsid w:val="000B739E"/>
    <w:rsid w:val="00102AFA"/>
    <w:rsid w:val="00125D5B"/>
    <w:rsid w:val="00144664"/>
    <w:rsid w:val="0014588C"/>
    <w:rsid w:val="0015351E"/>
    <w:rsid w:val="0015668A"/>
    <w:rsid w:val="00164E53"/>
    <w:rsid w:val="001A17D9"/>
    <w:rsid w:val="001D5A94"/>
    <w:rsid w:val="0020201F"/>
    <w:rsid w:val="00221238"/>
    <w:rsid w:val="0026321D"/>
    <w:rsid w:val="00272753"/>
    <w:rsid w:val="00286340"/>
    <w:rsid w:val="00287225"/>
    <w:rsid w:val="002A12DE"/>
    <w:rsid w:val="002E3926"/>
    <w:rsid w:val="00314811"/>
    <w:rsid w:val="00347653"/>
    <w:rsid w:val="00353619"/>
    <w:rsid w:val="0036339F"/>
    <w:rsid w:val="00367F33"/>
    <w:rsid w:val="004134BC"/>
    <w:rsid w:val="004151D4"/>
    <w:rsid w:val="00460010"/>
    <w:rsid w:val="004C49DD"/>
    <w:rsid w:val="005048EB"/>
    <w:rsid w:val="005072A2"/>
    <w:rsid w:val="005310F4"/>
    <w:rsid w:val="00536DC1"/>
    <w:rsid w:val="0054660B"/>
    <w:rsid w:val="00581717"/>
    <w:rsid w:val="0058583A"/>
    <w:rsid w:val="005A0DCD"/>
    <w:rsid w:val="005B1297"/>
    <w:rsid w:val="005F1BAF"/>
    <w:rsid w:val="0066283C"/>
    <w:rsid w:val="006B5E26"/>
    <w:rsid w:val="006D1E27"/>
    <w:rsid w:val="006D474B"/>
    <w:rsid w:val="00705824"/>
    <w:rsid w:val="00707A62"/>
    <w:rsid w:val="007100F4"/>
    <w:rsid w:val="007140FF"/>
    <w:rsid w:val="00721CF0"/>
    <w:rsid w:val="0073328F"/>
    <w:rsid w:val="0076222F"/>
    <w:rsid w:val="007A5BB4"/>
    <w:rsid w:val="007C175F"/>
    <w:rsid w:val="00801EC2"/>
    <w:rsid w:val="0080381C"/>
    <w:rsid w:val="00817855"/>
    <w:rsid w:val="00826F02"/>
    <w:rsid w:val="00843EFA"/>
    <w:rsid w:val="0085744B"/>
    <w:rsid w:val="00886D43"/>
    <w:rsid w:val="008B3B1F"/>
    <w:rsid w:val="008C143B"/>
    <w:rsid w:val="008D1CC1"/>
    <w:rsid w:val="008F0717"/>
    <w:rsid w:val="00946427"/>
    <w:rsid w:val="009518CC"/>
    <w:rsid w:val="0095329F"/>
    <w:rsid w:val="00961647"/>
    <w:rsid w:val="00970465"/>
    <w:rsid w:val="00980C82"/>
    <w:rsid w:val="009E231C"/>
    <w:rsid w:val="009F7E50"/>
    <w:rsid w:val="00A0076B"/>
    <w:rsid w:val="00A23AA0"/>
    <w:rsid w:val="00A948F5"/>
    <w:rsid w:val="00AA0DFD"/>
    <w:rsid w:val="00AF0159"/>
    <w:rsid w:val="00B252E5"/>
    <w:rsid w:val="00B93338"/>
    <w:rsid w:val="00BA7BD3"/>
    <w:rsid w:val="00BB3B84"/>
    <w:rsid w:val="00BD52FD"/>
    <w:rsid w:val="00BF5939"/>
    <w:rsid w:val="00C15DF5"/>
    <w:rsid w:val="00C4375F"/>
    <w:rsid w:val="00C62DBC"/>
    <w:rsid w:val="00C80D29"/>
    <w:rsid w:val="00CB5E32"/>
    <w:rsid w:val="00CF16EB"/>
    <w:rsid w:val="00DA47D1"/>
    <w:rsid w:val="00DD2DF3"/>
    <w:rsid w:val="00E154CA"/>
    <w:rsid w:val="00E5061F"/>
    <w:rsid w:val="00EB648A"/>
    <w:rsid w:val="00EC1FC1"/>
    <w:rsid w:val="00EC40F7"/>
    <w:rsid w:val="00ED774D"/>
    <w:rsid w:val="00F01DA0"/>
    <w:rsid w:val="00F11CB7"/>
    <w:rsid w:val="00F15F22"/>
    <w:rsid w:val="00F25251"/>
    <w:rsid w:val="00F25C84"/>
    <w:rsid w:val="00F53F63"/>
    <w:rsid w:val="00F555DF"/>
    <w:rsid w:val="00F703A1"/>
    <w:rsid w:val="00F90F87"/>
    <w:rsid w:val="00FA62DB"/>
    <w:rsid w:val="00FC2052"/>
    <w:rsid w:val="00FC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21C14"/>
  <w15:docId w15:val="{03E260D5-0928-443C-9CE7-EDBF4D73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6339F"/>
    <w:pPr>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36339F"/>
    <w:pPr>
      <w:ind w:left="720"/>
      <w:contextualSpacing/>
    </w:pPr>
  </w:style>
  <w:style w:type="character" w:styleId="Hyperlink">
    <w:name w:val="Hyperlink"/>
    <w:basedOn w:val="DefaultParagraphFont"/>
    <w:uiPriority w:val="99"/>
    <w:unhideWhenUsed/>
    <w:rsid w:val="001A17D9"/>
    <w:rPr>
      <w:color w:val="0000FF" w:themeColor="hyperlink"/>
      <w:u w:val="single"/>
    </w:rPr>
  </w:style>
  <w:style w:type="character" w:styleId="FollowedHyperlink">
    <w:name w:val="FollowedHyperlink"/>
    <w:basedOn w:val="DefaultParagraphFont"/>
    <w:uiPriority w:val="99"/>
    <w:semiHidden/>
    <w:unhideWhenUsed/>
    <w:rsid w:val="007140FF"/>
    <w:rPr>
      <w:color w:val="800080" w:themeColor="followedHyperlink"/>
      <w:u w:val="single"/>
    </w:rPr>
  </w:style>
  <w:style w:type="character" w:styleId="CommentReference">
    <w:name w:val="annotation reference"/>
    <w:basedOn w:val="DefaultParagraphFont"/>
    <w:uiPriority w:val="99"/>
    <w:semiHidden/>
    <w:unhideWhenUsed/>
    <w:rsid w:val="0085744B"/>
    <w:rPr>
      <w:sz w:val="16"/>
      <w:szCs w:val="16"/>
    </w:rPr>
  </w:style>
  <w:style w:type="paragraph" w:styleId="CommentText">
    <w:name w:val="annotation text"/>
    <w:basedOn w:val="Normal"/>
    <w:link w:val="CommentTextChar"/>
    <w:uiPriority w:val="99"/>
    <w:semiHidden/>
    <w:unhideWhenUsed/>
    <w:rsid w:val="0085744B"/>
    <w:pPr>
      <w:spacing w:line="240" w:lineRule="auto"/>
    </w:pPr>
    <w:rPr>
      <w:sz w:val="20"/>
      <w:szCs w:val="20"/>
    </w:rPr>
  </w:style>
  <w:style w:type="character" w:customStyle="1" w:styleId="CommentTextChar">
    <w:name w:val="Comment Text Char"/>
    <w:basedOn w:val="DefaultParagraphFont"/>
    <w:link w:val="CommentText"/>
    <w:uiPriority w:val="99"/>
    <w:semiHidden/>
    <w:rsid w:val="0085744B"/>
    <w:rPr>
      <w:sz w:val="20"/>
      <w:szCs w:val="20"/>
    </w:rPr>
  </w:style>
  <w:style w:type="paragraph" w:styleId="BalloonText">
    <w:name w:val="Balloon Text"/>
    <w:basedOn w:val="Normal"/>
    <w:link w:val="BalloonTextChar"/>
    <w:uiPriority w:val="99"/>
    <w:semiHidden/>
    <w:unhideWhenUsed/>
    <w:rsid w:val="0085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4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B1F"/>
    <w:rPr>
      <w:b/>
      <w:bCs/>
    </w:rPr>
  </w:style>
  <w:style w:type="character" w:customStyle="1" w:styleId="CommentSubjectChar">
    <w:name w:val="Comment Subject Char"/>
    <w:basedOn w:val="CommentTextChar"/>
    <w:link w:val="CommentSubject"/>
    <w:uiPriority w:val="99"/>
    <w:semiHidden/>
    <w:rsid w:val="008B3B1F"/>
    <w:rPr>
      <w:b/>
      <w:bCs/>
      <w:sz w:val="20"/>
      <w:szCs w:val="20"/>
    </w:rPr>
  </w:style>
  <w:style w:type="table" w:styleId="TableGrid">
    <w:name w:val="Table Grid"/>
    <w:basedOn w:val="TableNormal"/>
    <w:uiPriority w:val="59"/>
    <w:rsid w:val="009F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5251"/>
    <w:pPr>
      <w:spacing w:after="0" w:line="240" w:lineRule="auto"/>
    </w:pPr>
  </w:style>
  <w:style w:type="character" w:styleId="LineNumber">
    <w:name w:val="line number"/>
    <w:basedOn w:val="DefaultParagraphFont"/>
    <w:uiPriority w:val="99"/>
    <w:semiHidden/>
    <w:unhideWhenUsed/>
    <w:rsid w:val="002A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36160">
      <w:bodyDiv w:val="1"/>
      <w:marLeft w:val="0"/>
      <w:marRight w:val="0"/>
      <w:marTop w:val="0"/>
      <w:marBottom w:val="0"/>
      <w:divBdr>
        <w:top w:val="none" w:sz="0" w:space="0" w:color="auto"/>
        <w:left w:val="none" w:sz="0" w:space="0" w:color="auto"/>
        <w:bottom w:val="none" w:sz="0" w:space="0" w:color="auto"/>
        <w:right w:val="none" w:sz="0" w:space="0" w:color="auto"/>
      </w:divBdr>
    </w:div>
    <w:div w:id="1198348262">
      <w:bodyDiv w:val="1"/>
      <w:marLeft w:val="0"/>
      <w:marRight w:val="0"/>
      <w:marTop w:val="0"/>
      <w:marBottom w:val="0"/>
      <w:divBdr>
        <w:top w:val="none" w:sz="0" w:space="0" w:color="auto"/>
        <w:left w:val="none" w:sz="0" w:space="0" w:color="auto"/>
        <w:bottom w:val="none" w:sz="0" w:space="0" w:color="auto"/>
        <w:right w:val="none" w:sz="0" w:space="0" w:color="auto"/>
      </w:divBdr>
    </w:div>
    <w:div w:id="19463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m.edu/assessment/programreview/senate/programreviewpolicyapproved.effective_2011Aug18.pdf"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sm.edu/assessment/programreview/senate/1pr_old_new_compare_chart_final040611.doc" TargetMode="External"/><Relationship Id="rId12" Type="http://schemas.openxmlformats.org/officeDocument/2006/relationships/hyperlink" Target="http://www.csusm.edu/assessment/programreview/calendar_of_review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adar.csusm.ed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susm.edu/assessment/programreview/senate/1pr_appendix_a_datanotebooks_final040611.doc" TargetMode="External"/><Relationship Id="rId5" Type="http://schemas.openxmlformats.org/officeDocument/2006/relationships/hyperlink" Target="http://www.csusm.edu/wasc/reports/wasc_interim_report_committee_action_letter_121207.pdf" TargetMode="External"/><Relationship Id="rId15" Type="http://schemas.openxmlformats.org/officeDocument/2006/relationships/hyperlink" Target="http://www.csusm.edu/president/plans/ITStrategicPlan2012.pdf" TargetMode="External"/><Relationship Id="rId10" Type="http://schemas.openxmlformats.org/officeDocument/2006/relationships/hyperlink" Target="http://www.csusm.edu/assessment/programreview/prog_rev_timeline_flowchart.doc" TargetMode="External"/><Relationship Id="rId4" Type="http://schemas.openxmlformats.org/officeDocument/2006/relationships/webSettings" Target="webSettings.xml"/><Relationship Id="rId9" Type="http://schemas.openxmlformats.org/officeDocument/2006/relationships/hyperlink" Target="http://www.csusm.edu/assessment/programreview/prog_rev_timeline_flowchart.doc" TargetMode="External"/><Relationship Id="rId14" Type="http://schemas.openxmlformats.org/officeDocument/2006/relationships/hyperlink" Target="http://www.csusm.edu/ip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Sheet1!$E$3</c:f>
              <c:strCache>
                <c:ptCount val="1"/>
                <c:pt idx="0">
                  <c:v>All FTF</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c:f>
              <c:strCache>
                <c:ptCount val="1"/>
                <c:pt idx="0">
                  <c:v>Fall 2011 Entrants</c:v>
                </c:pt>
              </c:strCache>
            </c:strRef>
          </c:cat>
          <c:val>
            <c:numRef>
              <c:f>Sheet1!$E$4</c:f>
              <c:numCache>
                <c:formatCode>General</c:formatCode>
                <c:ptCount val="1"/>
                <c:pt idx="0">
                  <c:v>80.599999999999994</c:v>
                </c:pt>
              </c:numCache>
            </c:numRef>
          </c:val>
        </c:ser>
        <c:ser>
          <c:idx val="1"/>
          <c:order val="1"/>
          <c:tx>
            <c:strRef>
              <c:f>Sheet1!$F$3</c:f>
              <c:strCache>
                <c:ptCount val="1"/>
                <c:pt idx="0">
                  <c:v>ULD</c:v>
                </c:pt>
              </c:strCache>
            </c:strRef>
          </c:tx>
          <c:spPr>
            <a:solidFill>
              <a:srgbClr val="FFFF00"/>
            </a:solidFill>
            <a:ln>
              <a:noFill/>
            </a:ln>
            <a:effectLst>
              <a:outerShdw blurRad="50800" dist="50800" dir="5400000" algn="ctr" rotWithShape="0">
                <a:schemeClr val="tx2">
                  <a:lumMod val="60000"/>
                  <a:lumOff val="40000"/>
                </a:scheme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c:f>
              <c:strCache>
                <c:ptCount val="1"/>
                <c:pt idx="0">
                  <c:v>Fall 2011 Entrants</c:v>
                </c:pt>
              </c:strCache>
            </c:strRef>
          </c:cat>
          <c:val>
            <c:numRef>
              <c:f>Sheet1!$F$4</c:f>
              <c:numCache>
                <c:formatCode>General</c:formatCode>
                <c:ptCount val="1"/>
                <c:pt idx="0">
                  <c:v>92.7</c:v>
                </c:pt>
              </c:numCache>
            </c:numRef>
          </c:val>
        </c:ser>
        <c:ser>
          <c:idx val="2"/>
          <c:order val="2"/>
          <c:tx>
            <c:strRef>
              <c:f>Sheet1!$G$3</c:f>
              <c:strCache>
                <c:ptCount val="1"/>
                <c:pt idx="0">
                  <c:v>All Undeclared</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c:f>
              <c:strCache>
                <c:ptCount val="1"/>
                <c:pt idx="0">
                  <c:v>Fall 2011 Entrants</c:v>
                </c:pt>
              </c:strCache>
            </c:strRef>
          </c:cat>
          <c:val>
            <c:numRef>
              <c:f>Sheet1!$G$4</c:f>
              <c:numCache>
                <c:formatCode>General</c:formatCode>
                <c:ptCount val="1"/>
                <c:pt idx="0">
                  <c:v>78.3</c:v>
                </c:pt>
              </c:numCache>
            </c:numRef>
          </c:val>
        </c:ser>
        <c:dLbls>
          <c:showLegendKey val="0"/>
          <c:showVal val="0"/>
          <c:showCatName val="0"/>
          <c:showSerName val="0"/>
          <c:showPercent val="0"/>
          <c:showBubbleSize val="0"/>
        </c:dLbls>
        <c:gapWidth val="75"/>
        <c:overlap val="1"/>
        <c:axId val="386516200"/>
        <c:axId val="386516592"/>
      </c:barChart>
      <c:catAx>
        <c:axId val="38651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386516592"/>
        <c:crosses val="autoZero"/>
        <c:auto val="1"/>
        <c:lblAlgn val="ctr"/>
        <c:lblOffset val="100"/>
        <c:noMultiLvlLbl val="0"/>
      </c:catAx>
      <c:valAx>
        <c:axId val="386516592"/>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386516200"/>
        <c:crosses val="autoZero"/>
        <c:crossBetween val="between"/>
      </c:valAx>
      <c:spPr>
        <a:noFill/>
        <a:ln>
          <a:noFill/>
        </a:ln>
        <a:effectLst/>
      </c:spPr>
    </c:plotArea>
    <c:plotVisOnly val="1"/>
    <c:dispBlanksAs val="gap"/>
    <c:showDLblsOverMax val="0"/>
  </c:chart>
  <c:spPr>
    <a:noFill/>
    <a:ln w="9525" cap="flat" cmpd="sng" algn="ctr">
      <a:solidFill>
        <a:srgbClr val="00B0F0"/>
      </a:solidFill>
      <a:round/>
    </a:ln>
    <a:effectLst/>
  </c:spPr>
  <c:txPr>
    <a:bodyPr/>
    <a:lstStyle/>
    <a:p>
      <a:pPr>
        <a:defRPr>
          <a:solidFill>
            <a:schemeClr val="bg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Tracey Brown</cp:lastModifiedBy>
  <cp:revision>4</cp:revision>
  <cp:lastPrinted>2015-02-23T20:03:00Z</cp:lastPrinted>
  <dcterms:created xsi:type="dcterms:W3CDTF">2015-02-23T19:48:00Z</dcterms:created>
  <dcterms:modified xsi:type="dcterms:W3CDTF">2015-02-23T21:17:00Z</dcterms:modified>
</cp:coreProperties>
</file>